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85" w:rsidRDefault="00232785" w:rsidP="00232785">
      <w:pPr>
        <w:ind w:firstLineChars="100" w:firstLine="300"/>
        <w:rPr>
          <w:sz w:val="30"/>
          <w:szCs w:val="30"/>
        </w:rPr>
      </w:pPr>
      <w:r>
        <w:rPr>
          <w:rFonts w:hint="eastAsia"/>
          <w:sz w:val="30"/>
          <w:szCs w:val="30"/>
        </w:rPr>
        <w:t>附件：</w:t>
      </w:r>
      <w:r w:rsidRPr="00951384">
        <w:rPr>
          <w:rFonts w:hint="eastAsia"/>
          <w:sz w:val="30"/>
          <w:szCs w:val="30"/>
        </w:rPr>
        <w:t>陕西省第十三届自然科学优秀学术论文奖</w:t>
      </w:r>
      <w:r>
        <w:rPr>
          <w:rFonts w:hint="eastAsia"/>
          <w:sz w:val="30"/>
          <w:szCs w:val="30"/>
        </w:rPr>
        <w:t>推荐结果</w:t>
      </w:r>
    </w:p>
    <w:tbl>
      <w:tblPr>
        <w:tblStyle w:val="a3"/>
        <w:tblW w:w="0" w:type="auto"/>
        <w:tblLook w:val="04A0"/>
      </w:tblPr>
      <w:tblGrid>
        <w:gridCol w:w="959"/>
        <w:gridCol w:w="5103"/>
        <w:gridCol w:w="850"/>
        <w:gridCol w:w="709"/>
        <w:gridCol w:w="901"/>
      </w:tblGrid>
      <w:tr w:rsidR="00232785" w:rsidRPr="00DA36B4" w:rsidTr="00E11F09">
        <w:tc>
          <w:tcPr>
            <w:tcW w:w="959" w:type="dxa"/>
          </w:tcPr>
          <w:p w:rsidR="00232785" w:rsidRPr="00DA36B4" w:rsidRDefault="00232785" w:rsidP="00E11F09">
            <w:pPr>
              <w:rPr>
                <w:sz w:val="24"/>
                <w:szCs w:val="24"/>
              </w:rPr>
            </w:pPr>
            <w:r w:rsidRPr="00DA36B4">
              <w:rPr>
                <w:rFonts w:hint="eastAsia"/>
                <w:sz w:val="24"/>
                <w:szCs w:val="24"/>
              </w:rPr>
              <w:t>姓名</w:t>
            </w:r>
          </w:p>
        </w:tc>
        <w:tc>
          <w:tcPr>
            <w:tcW w:w="5103" w:type="dxa"/>
          </w:tcPr>
          <w:p w:rsidR="00232785" w:rsidRPr="00DA36B4" w:rsidRDefault="00232785" w:rsidP="00E11F09">
            <w:pPr>
              <w:rPr>
                <w:sz w:val="24"/>
                <w:szCs w:val="24"/>
              </w:rPr>
            </w:pPr>
            <w:r w:rsidRPr="00DA36B4">
              <w:rPr>
                <w:rFonts w:hint="eastAsia"/>
                <w:sz w:val="24"/>
                <w:szCs w:val="24"/>
              </w:rPr>
              <w:t>论文题目</w:t>
            </w:r>
          </w:p>
        </w:tc>
        <w:tc>
          <w:tcPr>
            <w:tcW w:w="850" w:type="dxa"/>
          </w:tcPr>
          <w:p w:rsidR="00232785" w:rsidRPr="00DA36B4" w:rsidRDefault="00232785" w:rsidP="00E11F09">
            <w:pPr>
              <w:rPr>
                <w:sz w:val="24"/>
                <w:szCs w:val="24"/>
              </w:rPr>
            </w:pPr>
            <w:r>
              <w:rPr>
                <w:rFonts w:hint="eastAsia"/>
                <w:sz w:val="24"/>
                <w:szCs w:val="24"/>
              </w:rPr>
              <w:t>影响因子</w:t>
            </w:r>
          </w:p>
        </w:tc>
        <w:tc>
          <w:tcPr>
            <w:tcW w:w="709" w:type="dxa"/>
          </w:tcPr>
          <w:p w:rsidR="00232785" w:rsidRPr="00DA36B4" w:rsidRDefault="00232785" w:rsidP="00E11F09">
            <w:pPr>
              <w:rPr>
                <w:sz w:val="24"/>
                <w:szCs w:val="24"/>
              </w:rPr>
            </w:pPr>
            <w:r>
              <w:rPr>
                <w:rFonts w:hint="eastAsia"/>
                <w:sz w:val="24"/>
                <w:szCs w:val="24"/>
              </w:rPr>
              <w:t>分区</w:t>
            </w:r>
          </w:p>
        </w:tc>
        <w:tc>
          <w:tcPr>
            <w:tcW w:w="901" w:type="dxa"/>
          </w:tcPr>
          <w:p w:rsidR="00232785" w:rsidRPr="00DA36B4" w:rsidRDefault="00232785" w:rsidP="00E11F09">
            <w:pPr>
              <w:rPr>
                <w:sz w:val="24"/>
                <w:szCs w:val="24"/>
              </w:rPr>
            </w:pPr>
            <w:r>
              <w:rPr>
                <w:rFonts w:hint="eastAsia"/>
                <w:sz w:val="24"/>
                <w:szCs w:val="24"/>
              </w:rPr>
              <w:t>等级</w:t>
            </w:r>
          </w:p>
        </w:tc>
      </w:tr>
      <w:tr w:rsidR="00232785" w:rsidRPr="00DA36B4" w:rsidTr="00E11F09">
        <w:tc>
          <w:tcPr>
            <w:tcW w:w="959" w:type="dxa"/>
          </w:tcPr>
          <w:p w:rsidR="00232785" w:rsidRPr="00DA36B4" w:rsidRDefault="00232785" w:rsidP="00E11F09">
            <w:pPr>
              <w:rPr>
                <w:sz w:val="24"/>
                <w:szCs w:val="24"/>
              </w:rPr>
            </w:pPr>
            <w:r w:rsidRPr="00DA36B4">
              <w:rPr>
                <w:rFonts w:hint="eastAsia"/>
                <w:sz w:val="24"/>
                <w:szCs w:val="24"/>
              </w:rPr>
              <w:t>王书平</w:t>
            </w:r>
          </w:p>
        </w:tc>
        <w:tc>
          <w:tcPr>
            <w:tcW w:w="5103" w:type="dxa"/>
          </w:tcPr>
          <w:p w:rsidR="00232785" w:rsidRPr="00DA36B4" w:rsidRDefault="00232785" w:rsidP="00E11F09">
            <w:pPr>
              <w:rPr>
                <w:sz w:val="24"/>
                <w:szCs w:val="24"/>
              </w:rPr>
            </w:pPr>
            <w:r>
              <w:rPr>
                <w:rFonts w:hint="eastAsia"/>
                <w:sz w:val="24"/>
                <w:szCs w:val="24"/>
              </w:rPr>
              <w:t>小麦生理</w:t>
            </w:r>
            <w:r w:rsidRPr="00DA36B4">
              <w:rPr>
                <w:rFonts w:hint="eastAsia"/>
                <w:sz w:val="24"/>
                <w:szCs w:val="24"/>
              </w:rPr>
              <w:t>型和遗传型雄性不育系及其保持系线粒体差异蛋白质相互作用网络的构建与分析</w:t>
            </w:r>
          </w:p>
        </w:tc>
        <w:tc>
          <w:tcPr>
            <w:tcW w:w="850" w:type="dxa"/>
          </w:tcPr>
          <w:p w:rsidR="00232785" w:rsidRPr="00DA36B4" w:rsidRDefault="00232785" w:rsidP="00E11F09">
            <w:pPr>
              <w:rPr>
                <w:sz w:val="24"/>
                <w:szCs w:val="24"/>
              </w:rPr>
            </w:pPr>
            <w:r>
              <w:rPr>
                <w:rFonts w:hint="eastAsia"/>
                <w:sz w:val="24"/>
                <w:szCs w:val="24"/>
              </w:rPr>
              <w:t>5.526</w:t>
            </w:r>
          </w:p>
        </w:tc>
        <w:tc>
          <w:tcPr>
            <w:tcW w:w="709" w:type="dxa"/>
          </w:tcPr>
          <w:p w:rsidR="00232785" w:rsidRPr="00DA36B4" w:rsidRDefault="00232785" w:rsidP="00E11F09">
            <w:pPr>
              <w:rPr>
                <w:sz w:val="24"/>
                <w:szCs w:val="24"/>
              </w:rPr>
            </w:pPr>
            <w:r>
              <w:rPr>
                <w:rFonts w:hint="eastAsia"/>
                <w:sz w:val="24"/>
                <w:szCs w:val="24"/>
              </w:rPr>
              <w:t>Q1</w:t>
            </w:r>
          </w:p>
        </w:tc>
        <w:tc>
          <w:tcPr>
            <w:tcW w:w="901" w:type="dxa"/>
          </w:tcPr>
          <w:p w:rsidR="00232785" w:rsidRPr="00DA36B4" w:rsidRDefault="00232785" w:rsidP="00E11F09">
            <w:pPr>
              <w:rPr>
                <w:sz w:val="24"/>
                <w:szCs w:val="24"/>
              </w:rPr>
            </w:pPr>
            <w:r>
              <w:rPr>
                <w:rFonts w:hint="eastAsia"/>
                <w:sz w:val="24"/>
                <w:szCs w:val="24"/>
              </w:rPr>
              <w:t>一等</w:t>
            </w:r>
          </w:p>
        </w:tc>
      </w:tr>
      <w:tr w:rsidR="00232785" w:rsidRPr="00DA36B4" w:rsidTr="00E11F09">
        <w:tc>
          <w:tcPr>
            <w:tcW w:w="959" w:type="dxa"/>
          </w:tcPr>
          <w:p w:rsidR="00232785" w:rsidRPr="00DA36B4" w:rsidRDefault="00232785" w:rsidP="00E11F09">
            <w:pPr>
              <w:rPr>
                <w:sz w:val="24"/>
                <w:szCs w:val="24"/>
              </w:rPr>
            </w:pPr>
            <w:r w:rsidRPr="00DA36B4">
              <w:rPr>
                <w:rFonts w:hint="eastAsia"/>
                <w:sz w:val="24"/>
                <w:szCs w:val="24"/>
              </w:rPr>
              <w:t>李</w:t>
            </w:r>
            <w:r w:rsidRPr="00DA36B4">
              <w:rPr>
                <w:rFonts w:hint="eastAsia"/>
                <w:sz w:val="24"/>
                <w:szCs w:val="24"/>
              </w:rPr>
              <w:t xml:space="preserve">  </w:t>
            </w:r>
            <w:r w:rsidRPr="00DA36B4">
              <w:rPr>
                <w:rFonts w:hint="eastAsia"/>
                <w:sz w:val="24"/>
                <w:szCs w:val="24"/>
              </w:rPr>
              <w:t>好</w:t>
            </w:r>
          </w:p>
        </w:tc>
        <w:tc>
          <w:tcPr>
            <w:tcW w:w="5103" w:type="dxa"/>
          </w:tcPr>
          <w:p w:rsidR="00232785" w:rsidRPr="00DA36B4" w:rsidRDefault="00232785" w:rsidP="00E11F09">
            <w:pPr>
              <w:rPr>
                <w:sz w:val="24"/>
                <w:szCs w:val="24"/>
              </w:rPr>
            </w:pPr>
            <w:r w:rsidRPr="00DA36B4">
              <w:rPr>
                <w:rFonts w:hint="eastAsia"/>
                <w:sz w:val="24"/>
                <w:szCs w:val="24"/>
              </w:rPr>
              <w:t>丝瓜砧木提高黄瓜高温抗性的作用及机制</w:t>
            </w:r>
          </w:p>
        </w:tc>
        <w:tc>
          <w:tcPr>
            <w:tcW w:w="850" w:type="dxa"/>
          </w:tcPr>
          <w:p w:rsidR="00232785" w:rsidRPr="00DA36B4" w:rsidRDefault="00232785" w:rsidP="00E11F09">
            <w:pPr>
              <w:rPr>
                <w:sz w:val="24"/>
                <w:szCs w:val="24"/>
              </w:rPr>
            </w:pPr>
            <w:r>
              <w:rPr>
                <w:rFonts w:hint="eastAsia"/>
                <w:sz w:val="24"/>
                <w:szCs w:val="24"/>
              </w:rPr>
              <w:t>6.96</w:t>
            </w:r>
          </w:p>
        </w:tc>
        <w:tc>
          <w:tcPr>
            <w:tcW w:w="709" w:type="dxa"/>
          </w:tcPr>
          <w:p w:rsidR="00232785" w:rsidRPr="00DA36B4" w:rsidRDefault="00232785" w:rsidP="00E11F09">
            <w:pPr>
              <w:rPr>
                <w:sz w:val="24"/>
                <w:szCs w:val="24"/>
              </w:rPr>
            </w:pPr>
            <w:r>
              <w:rPr>
                <w:rFonts w:hint="eastAsia"/>
                <w:sz w:val="24"/>
                <w:szCs w:val="24"/>
              </w:rPr>
              <w:t>Q1</w:t>
            </w:r>
          </w:p>
        </w:tc>
        <w:tc>
          <w:tcPr>
            <w:tcW w:w="901" w:type="dxa"/>
          </w:tcPr>
          <w:p w:rsidR="00232785" w:rsidRPr="00DA36B4" w:rsidRDefault="00232785" w:rsidP="00E11F09">
            <w:pPr>
              <w:rPr>
                <w:sz w:val="24"/>
                <w:szCs w:val="24"/>
              </w:rPr>
            </w:pPr>
            <w:r>
              <w:rPr>
                <w:rFonts w:hint="eastAsia"/>
                <w:sz w:val="24"/>
                <w:szCs w:val="24"/>
              </w:rPr>
              <w:t>二等</w:t>
            </w:r>
          </w:p>
        </w:tc>
      </w:tr>
      <w:tr w:rsidR="00232785" w:rsidRPr="00DA36B4" w:rsidTr="00E11F09">
        <w:tc>
          <w:tcPr>
            <w:tcW w:w="959" w:type="dxa"/>
          </w:tcPr>
          <w:p w:rsidR="00232785" w:rsidRPr="00DA36B4" w:rsidRDefault="00232785" w:rsidP="00E11F09">
            <w:pPr>
              <w:rPr>
                <w:sz w:val="24"/>
                <w:szCs w:val="24"/>
              </w:rPr>
            </w:pPr>
            <w:r w:rsidRPr="00DA36B4">
              <w:rPr>
                <w:rFonts w:hint="eastAsia"/>
                <w:sz w:val="24"/>
                <w:szCs w:val="24"/>
              </w:rPr>
              <w:t>张</w:t>
            </w:r>
            <w:r w:rsidRPr="00DA36B4">
              <w:rPr>
                <w:rFonts w:hint="eastAsia"/>
                <w:sz w:val="24"/>
                <w:szCs w:val="24"/>
              </w:rPr>
              <w:t xml:space="preserve">  </w:t>
            </w:r>
            <w:r w:rsidRPr="00DA36B4">
              <w:rPr>
                <w:rFonts w:hint="eastAsia"/>
                <w:sz w:val="24"/>
                <w:szCs w:val="24"/>
              </w:rPr>
              <w:t>鹏</w:t>
            </w:r>
          </w:p>
        </w:tc>
        <w:tc>
          <w:tcPr>
            <w:tcW w:w="5103" w:type="dxa"/>
          </w:tcPr>
          <w:p w:rsidR="00232785" w:rsidRPr="00DA36B4" w:rsidRDefault="00232785" w:rsidP="00E11F09">
            <w:pPr>
              <w:rPr>
                <w:sz w:val="24"/>
                <w:szCs w:val="24"/>
              </w:rPr>
            </w:pPr>
            <w:r w:rsidRPr="00DA36B4">
              <w:rPr>
                <w:rFonts w:hint="eastAsia"/>
                <w:sz w:val="24"/>
                <w:szCs w:val="24"/>
              </w:rPr>
              <w:t>秸秆覆盖对旱地农田土壤水分和冬小麦产量的影响</w:t>
            </w:r>
          </w:p>
        </w:tc>
        <w:tc>
          <w:tcPr>
            <w:tcW w:w="850" w:type="dxa"/>
          </w:tcPr>
          <w:p w:rsidR="00232785" w:rsidRPr="00DA36B4" w:rsidRDefault="00232785" w:rsidP="00E11F09">
            <w:pPr>
              <w:rPr>
                <w:sz w:val="24"/>
                <w:szCs w:val="24"/>
              </w:rPr>
            </w:pPr>
            <w:r>
              <w:rPr>
                <w:rFonts w:hint="eastAsia"/>
                <w:sz w:val="24"/>
                <w:szCs w:val="24"/>
              </w:rPr>
              <w:t>5.578</w:t>
            </w:r>
          </w:p>
        </w:tc>
        <w:tc>
          <w:tcPr>
            <w:tcW w:w="709" w:type="dxa"/>
          </w:tcPr>
          <w:p w:rsidR="00232785" w:rsidRPr="00DA36B4" w:rsidRDefault="00232785" w:rsidP="00E11F09">
            <w:pPr>
              <w:rPr>
                <w:sz w:val="24"/>
                <w:szCs w:val="24"/>
              </w:rPr>
            </w:pPr>
            <w:r>
              <w:rPr>
                <w:rFonts w:hint="eastAsia"/>
                <w:sz w:val="24"/>
                <w:szCs w:val="24"/>
              </w:rPr>
              <w:t>Q1</w:t>
            </w:r>
          </w:p>
        </w:tc>
        <w:tc>
          <w:tcPr>
            <w:tcW w:w="901" w:type="dxa"/>
          </w:tcPr>
          <w:p w:rsidR="00232785" w:rsidRPr="00DA36B4" w:rsidRDefault="00232785" w:rsidP="00E11F09">
            <w:pPr>
              <w:rPr>
                <w:sz w:val="24"/>
                <w:szCs w:val="24"/>
              </w:rPr>
            </w:pPr>
            <w:r>
              <w:rPr>
                <w:rFonts w:hint="eastAsia"/>
                <w:sz w:val="24"/>
                <w:szCs w:val="24"/>
              </w:rPr>
              <w:t>二等</w:t>
            </w:r>
          </w:p>
        </w:tc>
      </w:tr>
      <w:tr w:rsidR="00232785" w:rsidRPr="00DA36B4" w:rsidTr="00E11F09">
        <w:tc>
          <w:tcPr>
            <w:tcW w:w="959" w:type="dxa"/>
          </w:tcPr>
          <w:p w:rsidR="00232785" w:rsidRPr="00DA36B4" w:rsidRDefault="00232785" w:rsidP="00E11F09">
            <w:pPr>
              <w:rPr>
                <w:sz w:val="24"/>
                <w:szCs w:val="24"/>
              </w:rPr>
            </w:pPr>
            <w:r w:rsidRPr="00DA36B4">
              <w:rPr>
                <w:rFonts w:hint="eastAsia"/>
                <w:sz w:val="24"/>
                <w:szCs w:val="24"/>
              </w:rPr>
              <w:t>吕英华</w:t>
            </w:r>
          </w:p>
        </w:tc>
        <w:tc>
          <w:tcPr>
            <w:tcW w:w="5103" w:type="dxa"/>
          </w:tcPr>
          <w:p w:rsidR="00232785" w:rsidRPr="00DA36B4" w:rsidRDefault="00232785" w:rsidP="00E11F09">
            <w:pPr>
              <w:rPr>
                <w:sz w:val="24"/>
                <w:szCs w:val="24"/>
              </w:rPr>
            </w:pPr>
            <w:r w:rsidRPr="00DA36B4">
              <w:rPr>
                <w:rFonts w:hint="eastAsia"/>
                <w:sz w:val="24"/>
                <w:szCs w:val="24"/>
              </w:rPr>
              <w:t>给予基因组毒性物质处理导致诱导多能干细胞和肿瘤细胞差异</w:t>
            </w:r>
            <w:r w:rsidRPr="00DA36B4">
              <w:rPr>
                <w:rFonts w:hint="eastAsia"/>
                <w:sz w:val="24"/>
                <w:szCs w:val="24"/>
              </w:rPr>
              <w:t>DNA</w:t>
            </w:r>
            <w:r w:rsidRPr="00DA36B4">
              <w:rPr>
                <w:rFonts w:hint="eastAsia"/>
                <w:sz w:val="24"/>
                <w:szCs w:val="24"/>
              </w:rPr>
              <w:t>损伤反应</w:t>
            </w:r>
          </w:p>
        </w:tc>
        <w:tc>
          <w:tcPr>
            <w:tcW w:w="850" w:type="dxa"/>
          </w:tcPr>
          <w:p w:rsidR="00232785" w:rsidRPr="00DA36B4" w:rsidRDefault="00232785" w:rsidP="00E11F09">
            <w:pPr>
              <w:rPr>
                <w:sz w:val="24"/>
                <w:szCs w:val="24"/>
              </w:rPr>
            </w:pPr>
            <w:r>
              <w:rPr>
                <w:rFonts w:hint="eastAsia"/>
                <w:sz w:val="24"/>
                <w:szCs w:val="24"/>
              </w:rPr>
              <w:t>4.812</w:t>
            </w:r>
          </w:p>
        </w:tc>
        <w:tc>
          <w:tcPr>
            <w:tcW w:w="709" w:type="dxa"/>
          </w:tcPr>
          <w:p w:rsidR="00232785" w:rsidRPr="00DA36B4" w:rsidRDefault="00232785" w:rsidP="00E11F09">
            <w:pPr>
              <w:rPr>
                <w:sz w:val="24"/>
                <w:szCs w:val="24"/>
              </w:rPr>
            </w:pPr>
            <w:r>
              <w:rPr>
                <w:rFonts w:hint="eastAsia"/>
                <w:sz w:val="24"/>
                <w:szCs w:val="24"/>
              </w:rPr>
              <w:t>Q1</w:t>
            </w:r>
          </w:p>
        </w:tc>
        <w:tc>
          <w:tcPr>
            <w:tcW w:w="901" w:type="dxa"/>
          </w:tcPr>
          <w:p w:rsidR="00232785" w:rsidRPr="00DA36B4" w:rsidRDefault="00232785" w:rsidP="00E11F09">
            <w:pPr>
              <w:rPr>
                <w:sz w:val="24"/>
                <w:szCs w:val="24"/>
              </w:rPr>
            </w:pPr>
            <w:r>
              <w:rPr>
                <w:rFonts w:hint="eastAsia"/>
                <w:sz w:val="24"/>
                <w:szCs w:val="24"/>
              </w:rPr>
              <w:t>三等</w:t>
            </w:r>
          </w:p>
        </w:tc>
      </w:tr>
      <w:tr w:rsidR="00232785" w:rsidRPr="00DA36B4" w:rsidTr="00E11F09">
        <w:tc>
          <w:tcPr>
            <w:tcW w:w="959" w:type="dxa"/>
          </w:tcPr>
          <w:p w:rsidR="00232785" w:rsidRPr="00DA36B4" w:rsidRDefault="00232785" w:rsidP="00E11F09">
            <w:pPr>
              <w:rPr>
                <w:sz w:val="24"/>
                <w:szCs w:val="24"/>
              </w:rPr>
            </w:pPr>
            <w:proofErr w:type="gramStart"/>
            <w:r w:rsidRPr="00DA36B4">
              <w:rPr>
                <w:rFonts w:hint="eastAsia"/>
                <w:sz w:val="24"/>
                <w:szCs w:val="24"/>
              </w:rPr>
              <w:t>安俊辉</w:t>
            </w:r>
            <w:proofErr w:type="gramEnd"/>
          </w:p>
        </w:tc>
        <w:tc>
          <w:tcPr>
            <w:tcW w:w="5103" w:type="dxa"/>
          </w:tcPr>
          <w:p w:rsidR="00232785" w:rsidRPr="00DA36B4" w:rsidRDefault="00232785" w:rsidP="00E11F09">
            <w:pPr>
              <w:rPr>
                <w:sz w:val="24"/>
                <w:szCs w:val="24"/>
              </w:rPr>
            </w:pPr>
            <w:r w:rsidRPr="00DA36B4">
              <w:rPr>
                <w:rFonts w:hint="eastAsia"/>
                <w:sz w:val="24"/>
                <w:szCs w:val="24"/>
              </w:rPr>
              <w:t>组蛋白甲基化酶</w:t>
            </w:r>
            <w:r w:rsidRPr="00DA36B4">
              <w:rPr>
                <w:rFonts w:hint="eastAsia"/>
                <w:sz w:val="24"/>
                <w:szCs w:val="24"/>
              </w:rPr>
              <w:t>ESET</w:t>
            </w:r>
            <w:r w:rsidRPr="00DA36B4">
              <w:rPr>
                <w:rFonts w:hint="eastAsia"/>
                <w:sz w:val="24"/>
                <w:szCs w:val="24"/>
              </w:rPr>
              <w:t>调控精原干、祖细胞的存活</w:t>
            </w:r>
          </w:p>
        </w:tc>
        <w:tc>
          <w:tcPr>
            <w:tcW w:w="850" w:type="dxa"/>
          </w:tcPr>
          <w:p w:rsidR="00232785" w:rsidRPr="00DA36B4" w:rsidRDefault="00232785" w:rsidP="00E11F09">
            <w:pPr>
              <w:rPr>
                <w:sz w:val="24"/>
                <w:szCs w:val="24"/>
              </w:rPr>
            </w:pPr>
            <w:r>
              <w:rPr>
                <w:rFonts w:hint="eastAsia"/>
                <w:sz w:val="24"/>
                <w:szCs w:val="24"/>
              </w:rPr>
              <w:t>5.014</w:t>
            </w:r>
          </w:p>
        </w:tc>
        <w:tc>
          <w:tcPr>
            <w:tcW w:w="709" w:type="dxa"/>
          </w:tcPr>
          <w:p w:rsidR="00232785" w:rsidRPr="00DA36B4" w:rsidRDefault="00232785" w:rsidP="00E11F09">
            <w:pPr>
              <w:rPr>
                <w:sz w:val="24"/>
                <w:szCs w:val="24"/>
              </w:rPr>
            </w:pPr>
            <w:r>
              <w:rPr>
                <w:rFonts w:hint="eastAsia"/>
                <w:sz w:val="24"/>
                <w:szCs w:val="24"/>
              </w:rPr>
              <w:t>Q2</w:t>
            </w:r>
          </w:p>
        </w:tc>
        <w:tc>
          <w:tcPr>
            <w:tcW w:w="901" w:type="dxa"/>
          </w:tcPr>
          <w:p w:rsidR="00232785" w:rsidRPr="00DA36B4" w:rsidRDefault="00232785" w:rsidP="00E11F09">
            <w:pPr>
              <w:rPr>
                <w:sz w:val="24"/>
                <w:szCs w:val="24"/>
              </w:rPr>
            </w:pPr>
            <w:r>
              <w:rPr>
                <w:rFonts w:hint="eastAsia"/>
                <w:sz w:val="24"/>
                <w:szCs w:val="24"/>
              </w:rPr>
              <w:t>三等</w:t>
            </w:r>
          </w:p>
        </w:tc>
      </w:tr>
      <w:tr w:rsidR="00232785" w:rsidRPr="00DA36B4" w:rsidTr="00E11F09">
        <w:tc>
          <w:tcPr>
            <w:tcW w:w="959" w:type="dxa"/>
          </w:tcPr>
          <w:p w:rsidR="00232785" w:rsidRPr="00DA36B4" w:rsidRDefault="00232785" w:rsidP="00E11F09">
            <w:pPr>
              <w:rPr>
                <w:sz w:val="24"/>
                <w:szCs w:val="24"/>
              </w:rPr>
            </w:pPr>
            <w:r w:rsidRPr="00DA36B4">
              <w:rPr>
                <w:rFonts w:hint="eastAsia"/>
                <w:sz w:val="24"/>
                <w:szCs w:val="24"/>
              </w:rPr>
              <w:t>庞卫军</w:t>
            </w:r>
          </w:p>
        </w:tc>
        <w:tc>
          <w:tcPr>
            <w:tcW w:w="5103" w:type="dxa"/>
          </w:tcPr>
          <w:p w:rsidR="00232785" w:rsidRPr="00DA36B4" w:rsidRDefault="00232785" w:rsidP="00E11F09">
            <w:pPr>
              <w:rPr>
                <w:sz w:val="24"/>
                <w:szCs w:val="24"/>
              </w:rPr>
            </w:pPr>
            <w:r w:rsidRPr="00DA36B4">
              <w:rPr>
                <w:rFonts w:hint="eastAsia"/>
                <w:sz w:val="24"/>
                <w:szCs w:val="24"/>
              </w:rPr>
              <w:t>干扰</w:t>
            </w:r>
            <w:r w:rsidRPr="00DA36B4">
              <w:rPr>
                <w:rFonts w:hint="eastAsia"/>
                <w:sz w:val="24"/>
                <w:szCs w:val="24"/>
              </w:rPr>
              <w:t xml:space="preserve">pu.1As </w:t>
            </w:r>
            <w:proofErr w:type="spellStart"/>
            <w:r w:rsidRPr="00DA36B4">
              <w:rPr>
                <w:rFonts w:hint="eastAsia"/>
                <w:sz w:val="24"/>
                <w:szCs w:val="24"/>
              </w:rPr>
              <w:t>LncRNA</w:t>
            </w:r>
            <w:proofErr w:type="spellEnd"/>
            <w:r w:rsidRPr="00DA36B4">
              <w:rPr>
                <w:rFonts w:hint="eastAsia"/>
                <w:sz w:val="24"/>
                <w:szCs w:val="24"/>
              </w:rPr>
              <w:t>通过促进</w:t>
            </w:r>
            <w:r w:rsidRPr="00DA36B4">
              <w:rPr>
                <w:rFonts w:hint="eastAsia"/>
                <w:sz w:val="24"/>
                <w:szCs w:val="24"/>
              </w:rPr>
              <w:t>pu.1 mRNA</w:t>
            </w:r>
            <w:r w:rsidRPr="00DA36B4">
              <w:rPr>
                <w:rFonts w:hint="eastAsia"/>
                <w:sz w:val="24"/>
                <w:szCs w:val="24"/>
              </w:rPr>
              <w:t>翻译抑制脂肪生成</w:t>
            </w:r>
          </w:p>
        </w:tc>
        <w:tc>
          <w:tcPr>
            <w:tcW w:w="850" w:type="dxa"/>
          </w:tcPr>
          <w:p w:rsidR="00232785" w:rsidRPr="00DA36B4" w:rsidRDefault="00232785" w:rsidP="00E11F09">
            <w:pPr>
              <w:rPr>
                <w:sz w:val="24"/>
                <w:szCs w:val="24"/>
              </w:rPr>
            </w:pPr>
            <w:r>
              <w:rPr>
                <w:rFonts w:hint="eastAsia"/>
                <w:sz w:val="24"/>
                <w:szCs w:val="24"/>
              </w:rPr>
              <w:t>3.062</w:t>
            </w:r>
          </w:p>
        </w:tc>
        <w:tc>
          <w:tcPr>
            <w:tcW w:w="709" w:type="dxa"/>
          </w:tcPr>
          <w:p w:rsidR="00232785" w:rsidRPr="00DA36B4" w:rsidRDefault="00232785" w:rsidP="00E11F09">
            <w:pPr>
              <w:rPr>
                <w:sz w:val="24"/>
                <w:szCs w:val="24"/>
              </w:rPr>
            </w:pPr>
            <w:r>
              <w:rPr>
                <w:rFonts w:hint="eastAsia"/>
                <w:sz w:val="24"/>
                <w:szCs w:val="24"/>
              </w:rPr>
              <w:t>Q2</w:t>
            </w:r>
          </w:p>
        </w:tc>
        <w:tc>
          <w:tcPr>
            <w:tcW w:w="901" w:type="dxa"/>
          </w:tcPr>
          <w:p w:rsidR="00232785" w:rsidRPr="00DA36B4" w:rsidRDefault="00232785" w:rsidP="00E11F09">
            <w:pPr>
              <w:rPr>
                <w:sz w:val="24"/>
                <w:szCs w:val="24"/>
              </w:rPr>
            </w:pPr>
            <w:r>
              <w:rPr>
                <w:rFonts w:hint="eastAsia"/>
                <w:sz w:val="24"/>
                <w:szCs w:val="24"/>
              </w:rPr>
              <w:t>三等</w:t>
            </w:r>
          </w:p>
        </w:tc>
      </w:tr>
      <w:tr w:rsidR="00232785" w:rsidRPr="00DA36B4" w:rsidTr="00E11F09">
        <w:tc>
          <w:tcPr>
            <w:tcW w:w="959" w:type="dxa"/>
          </w:tcPr>
          <w:p w:rsidR="00232785" w:rsidRPr="00DA36B4" w:rsidRDefault="00232785" w:rsidP="00E11F09">
            <w:pPr>
              <w:rPr>
                <w:sz w:val="24"/>
                <w:szCs w:val="24"/>
              </w:rPr>
            </w:pPr>
            <w:r w:rsidRPr="00DA36B4">
              <w:rPr>
                <w:rFonts w:hint="eastAsia"/>
                <w:sz w:val="24"/>
                <w:szCs w:val="24"/>
              </w:rPr>
              <w:t>李明昭</w:t>
            </w:r>
          </w:p>
        </w:tc>
        <w:tc>
          <w:tcPr>
            <w:tcW w:w="5103" w:type="dxa"/>
          </w:tcPr>
          <w:p w:rsidR="00232785" w:rsidRPr="00DA36B4" w:rsidRDefault="00232785" w:rsidP="00E11F09">
            <w:pPr>
              <w:rPr>
                <w:sz w:val="24"/>
                <w:szCs w:val="24"/>
              </w:rPr>
            </w:pPr>
            <w:r w:rsidRPr="00DA36B4">
              <w:rPr>
                <w:rFonts w:hint="eastAsia"/>
                <w:sz w:val="24"/>
                <w:szCs w:val="24"/>
              </w:rPr>
              <w:t>P53</w:t>
            </w:r>
            <w:r w:rsidRPr="00DA36B4">
              <w:rPr>
                <w:rFonts w:hint="eastAsia"/>
                <w:sz w:val="24"/>
                <w:szCs w:val="24"/>
              </w:rPr>
              <w:t>下游</w:t>
            </w:r>
            <w:proofErr w:type="spellStart"/>
            <w:r w:rsidRPr="00DA36B4">
              <w:rPr>
                <w:rFonts w:hint="eastAsia"/>
                <w:sz w:val="24"/>
                <w:szCs w:val="24"/>
              </w:rPr>
              <w:t>MiRNA</w:t>
            </w:r>
            <w:proofErr w:type="spellEnd"/>
            <w:r w:rsidRPr="00DA36B4">
              <w:rPr>
                <w:rFonts w:hint="eastAsia"/>
                <w:sz w:val="24"/>
                <w:szCs w:val="24"/>
              </w:rPr>
              <w:t>(miR-34c)</w:t>
            </w:r>
            <w:r w:rsidRPr="00DA36B4">
              <w:rPr>
                <w:rFonts w:hint="eastAsia"/>
                <w:sz w:val="24"/>
                <w:szCs w:val="24"/>
              </w:rPr>
              <w:t>促进奶山羊雄性生殖干细胞的凋亡</w:t>
            </w:r>
          </w:p>
        </w:tc>
        <w:tc>
          <w:tcPr>
            <w:tcW w:w="850" w:type="dxa"/>
          </w:tcPr>
          <w:p w:rsidR="00232785" w:rsidRPr="00DA36B4" w:rsidRDefault="00232785" w:rsidP="00E11F09">
            <w:pPr>
              <w:rPr>
                <w:sz w:val="24"/>
                <w:szCs w:val="24"/>
              </w:rPr>
            </w:pPr>
            <w:r>
              <w:rPr>
                <w:rFonts w:hint="eastAsia"/>
                <w:sz w:val="24"/>
                <w:szCs w:val="24"/>
              </w:rPr>
              <w:t>3.08</w:t>
            </w:r>
          </w:p>
        </w:tc>
        <w:tc>
          <w:tcPr>
            <w:tcW w:w="709" w:type="dxa"/>
          </w:tcPr>
          <w:p w:rsidR="00232785" w:rsidRPr="00DA36B4" w:rsidRDefault="00232785" w:rsidP="00E11F09">
            <w:pPr>
              <w:rPr>
                <w:sz w:val="24"/>
                <w:szCs w:val="24"/>
              </w:rPr>
            </w:pPr>
            <w:r>
              <w:rPr>
                <w:rFonts w:hint="eastAsia"/>
                <w:sz w:val="24"/>
                <w:szCs w:val="24"/>
              </w:rPr>
              <w:t>Q3</w:t>
            </w:r>
          </w:p>
        </w:tc>
        <w:tc>
          <w:tcPr>
            <w:tcW w:w="901" w:type="dxa"/>
          </w:tcPr>
          <w:p w:rsidR="00232785" w:rsidRPr="00DA36B4" w:rsidRDefault="00232785" w:rsidP="00E11F09">
            <w:pPr>
              <w:rPr>
                <w:sz w:val="24"/>
                <w:szCs w:val="24"/>
              </w:rPr>
            </w:pPr>
            <w:r>
              <w:rPr>
                <w:rFonts w:hint="eastAsia"/>
                <w:sz w:val="24"/>
                <w:szCs w:val="24"/>
              </w:rPr>
              <w:t>三等</w:t>
            </w:r>
          </w:p>
        </w:tc>
      </w:tr>
      <w:tr w:rsidR="00232785" w:rsidRPr="00DA36B4" w:rsidTr="00E11F09">
        <w:tc>
          <w:tcPr>
            <w:tcW w:w="959" w:type="dxa"/>
          </w:tcPr>
          <w:p w:rsidR="00232785" w:rsidRPr="00DA36B4" w:rsidRDefault="00232785" w:rsidP="00E11F09">
            <w:pPr>
              <w:rPr>
                <w:sz w:val="24"/>
                <w:szCs w:val="24"/>
              </w:rPr>
            </w:pPr>
            <w:r w:rsidRPr="00DA36B4">
              <w:rPr>
                <w:rFonts w:hint="eastAsia"/>
                <w:sz w:val="24"/>
                <w:szCs w:val="24"/>
              </w:rPr>
              <w:t>张</w:t>
            </w:r>
            <w:r w:rsidRPr="00DA36B4">
              <w:rPr>
                <w:rFonts w:hint="eastAsia"/>
                <w:sz w:val="24"/>
                <w:szCs w:val="24"/>
              </w:rPr>
              <w:t xml:space="preserve">  </w:t>
            </w:r>
            <w:r w:rsidRPr="00DA36B4">
              <w:rPr>
                <w:rFonts w:hint="eastAsia"/>
                <w:sz w:val="24"/>
                <w:szCs w:val="24"/>
              </w:rPr>
              <w:t>玉</w:t>
            </w:r>
          </w:p>
        </w:tc>
        <w:tc>
          <w:tcPr>
            <w:tcW w:w="5103" w:type="dxa"/>
          </w:tcPr>
          <w:p w:rsidR="00232785" w:rsidRPr="00DA36B4" w:rsidRDefault="00232785" w:rsidP="00E11F09">
            <w:pPr>
              <w:rPr>
                <w:sz w:val="24"/>
                <w:szCs w:val="24"/>
              </w:rPr>
            </w:pPr>
            <w:r w:rsidRPr="00DA36B4">
              <w:rPr>
                <w:rFonts w:hint="eastAsia"/>
                <w:sz w:val="24"/>
                <w:szCs w:val="24"/>
              </w:rPr>
              <w:t>关中灌区沟垄集雨种植补灌对冬小麦光合特征、产量及水分利用效率的影响</w:t>
            </w:r>
          </w:p>
        </w:tc>
        <w:tc>
          <w:tcPr>
            <w:tcW w:w="1559" w:type="dxa"/>
            <w:gridSpan w:val="2"/>
          </w:tcPr>
          <w:p w:rsidR="00232785" w:rsidRPr="00DA36B4" w:rsidRDefault="00232785" w:rsidP="00E11F09">
            <w:pPr>
              <w:rPr>
                <w:sz w:val="24"/>
                <w:szCs w:val="24"/>
              </w:rPr>
            </w:pPr>
            <w:r>
              <w:rPr>
                <w:rFonts w:hint="eastAsia"/>
                <w:sz w:val="24"/>
                <w:szCs w:val="24"/>
              </w:rPr>
              <w:t>中文期刊</w:t>
            </w:r>
          </w:p>
        </w:tc>
        <w:tc>
          <w:tcPr>
            <w:tcW w:w="901" w:type="dxa"/>
          </w:tcPr>
          <w:p w:rsidR="00232785" w:rsidRPr="00DA36B4" w:rsidRDefault="00232785" w:rsidP="00E11F09">
            <w:pPr>
              <w:rPr>
                <w:sz w:val="24"/>
                <w:szCs w:val="24"/>
              </w:rPr>
            </w:pPr>
            <w:r>
              <w:rPr>
                <w:rFonts w:hint="eastAsia"/>
                <w:sz w:val="24"/>
                <w:szCs w:val="24"/>
              </w:rPr>
              <w:t>三等</w:t>
            </w:r>
          </w:p>
        </w:tc>
      </w:tr>
    </w:tbl>
    <w:p w:rsidR="00232785" w:rsidRPr="008F46C6" w:rsidRDefault="00232785" w:rsidP="00232785">
      <w:pPr>
        <w:ind w:firstLineChars="200" w:firstLine="600"/>
        <w:rPr>
          <w:sz w:val="30"/>
          <w:szCs w:val="30"/>
        </w:rPr>
      </w:pPr>
    </w:p>
    <w:p w:rsidR="00236E41" w:rsidRDefault="00236E41"/>
    <w:sectPr w:rsidR="00236E41" w:rsidSect="00136F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2785"/>
    <w:rsid w:val="00232785"/>
    <w:rsid w:val="00236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27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365</Characters>
  <Application>Microsoft Office Word</Application>
  <DocSecurity>0</DocSecurity>
  <Lines>3</Lines>
  <Paragraphs>1</Paragraphs>
  <ScaleCrop>false</ScaleCrop>
  <Company>中国石油大学</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姚虎</dc:creator>
  <cp:keywords/>
  <dc:description/>
  <cp:lastModifiedBy>姚虎</cp:lastModifiedBy>
  <cp:revision>1</cp:revision>
  <dcterms:created xsi:type="dcterms:W3CDTF">2016-06-22T09:10:00Z</dcterms:created>
  <dcterms:modified xsi:type="dcterms:W3CDTF">2016-06-22T09:10:00Z</dcterms:modified>
</cp:coreProperties>
</file>