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FF4E2">
      <w:pPr>
        <w:widowControl/>
        <w:snapToGrid w:val="0"/>
        <w:spacing w:line="480" w:lineRule="exact"/>
        <w:jc w:val="left"/>
        <w:outlineLvl w:val="0"/>
        <w:rPr>
          <w:rFonts w:hint="eastAsia" w:asciiTheme="minorEastAsia" w:hAnsiTheme="minorEastAsia" w:eastAsiaTheme="minorEastAsia" w:cstheme="minorEastAsia"/>
          <w:bCs/>
          <w:iCs/>
          <w:kern w:val="0"/>
          <w:sz w:val="24"/>
          <w:szCs w:val="24"/>
        </w:rPr>
      </w:pPr>
      <w:r>
        <w:rPr>
          <w:rFonts w:hint="eastAsia" w:asciiTheme="minorEastAsia" w:hAnsiTheme="minorEastAsia" w:eastAsiaTheme="minorEastAsia" w:cstheme="minorEastAsia"/>
          <w:bCs/>
          <w:iCs/>
          <w:kern w:val="0"/>
          <w:sz w:val="24"/>
          <w:szCs w:val="24"/>
        </w:rPr>
        <w:t>附件1</w:t>
      </w:r>
    </w:p>
    <w:p w14:paraId="3C2C26E7">
      <w:pPr>
        <w:widowControl/>
        <w:snapToGrid w:val="0"/>
        <w:spacing w:line="480" w:lineRule="exact"/>
        <w:jc w:val="left"/>
        <w:outlineLvl w:val="0"/>
        <w:rPr>
          <w:rFonts w:hint="eastAsia" w:asciiTheme="minorEastAsia" w:hAnsiTheme="minorEastAsia" w:eastAsiaTheme="minorEastAsia" w:cstheme="minorEastAsia"/>
          <w:bCs/>
          <w:iCs/>
          <w:kern w:val="0"/>
          <w:sz w:val="24"/>
          <w:szCs w:val="24"/>
        </w:rPr>
      </w:pPr>
    </w:p>
    <w:p w14:paraId="6E8DE39B">
      <w:pPr>
        <w:widowControl/>
        <w:snapToGrid w:val="0"/>
        <w:spacing w:line="480" w:lineRule="exact"/>
        <w:jc w:val="center"/>
        <w:outlineLvl w:val="0"/>
        <w:rPr>
          <w:rFonts w:asciiTheme="minorEastAsia" w:hAnsiTheme="minorEastAsia" w:eastAsiaTheme="minorEastAsia" w:cstheme="minorEastAsia"/>
          <w:b/>
          <w:bCs/>
          <w:iCs/>
          <w:kern w:val="0"/>
          <w:sz w:val="32"/>
          <w:szCs w:val="32"/>
        </w:rPr>
      </w:pPr>
      <w:r>
        <w:rPr>
          <w:rFonts w:hint="eastAsia" w:asciiTheme="minorEastAsia" w:hAnsiTheme="minorEastAsia" w:eastAsiaTheme="minorEastAsia" w:cstheme="minorEastAsia"/>
          <w:b/>
          <w:bCs/>
          <w:iCs/>
          <w:kern w:val="0"/>
          <w:sz w:val="32"/>
          <w:szCs w:val="32"/>
        </w:rPr>
        <w:t>中国高校产学研创新基金-星网锐捷数字教育创新专项</w:t>
      </w:r>
    </w:p>
    <w:p w14:paraId="7161B5DF">
      <w:pPr>
        <w:widowControl/>
        <w:snapToGrid w:val="0"/>
        <w:spacing w:line="480" w:lineRule="exact"/>
        <w:jc w:val="center"/>
        <w:outlineLvl w:val="0"/>
        <w:rPr>
          <w:rFonts w:hint="eastAsia" w:asciiTheme="minorEastAsia" w:hAnsiTheme="minorEastAsia" w:eastAsiaTheme="minorEastAsia" w:cstheme="minorEastAsia"/>
          <w:bCs/>
          <w:iCs/>
          <w:kern w:val="0"/>
          <w:sz w:val="24"/>
          <w:szCs w:val="24"/>
        </w:rPr>
      </w:pPr>
      <w:r>
        <w:rPr>
          <w:rFonts w:hint="eastAsia" w:asciiTheme="minorEastAsia" w:hAnsiTheme="minorEastAsia" w:eastAsiaTheme="minorEastAsia" w:cstheme="minorEastAsia"/>
          <w:b/>
          <w:bCs/>
          <w:iCs/>
          <w:kern w:val="0"/>
          <w:sz w:val="32"/>
          <w:szCs w:val="32"/>
        </w:rPr>
        <w:t>申请指南</w:t>
      </w:r>
    </w:p>
    <w:p w14:paraId="3BB0D029">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bookmarkStart w:id="0" w:name="OLE_LINK1"/>
      <w:r>
        <w:rPr>
          <w:rFonts w:hint="eastAsia" w:asciiTheme="minorEastAsia" w:hAnsiTheme="minorEastAsia" w:eastAsiaTheme="minorEastAsia" w:cstheme="minorEastAsia"/>
          <w:sz w:val="24"/>
          <w:szCs w:val="24"/>
        </w:rPr>
        <w:t>根据《关于申报2026年中国高校产学研创新基金的通知》(教科发中心函〔2026〕5号)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见后</w:t>
      </w:r>
      <w:bookmarkStart w:id="25" w:name="_GoBack"/>
      <w:bookmarkEnd w:id="25"/>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的相关要求，教育部高等学校科学研究发展中心与福建星网锐捷智教科技有限公司、北京弧聚科技有限公司联合设立“2026年中国高校产学研创新基金-星网锐捷数字教育创新专项”，现将有关事项通知如下：</w:t>
      </w:r>
    </w:p>
    <w:p w14:paraId="616AD720">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outlineLvl w:val="1"/>
        <w:rPr>
          <w:rFonts w:hint="eastAsia" w:ascii="黑体" w:hAnsi="黑体" w:eastAsia="黑体" w:cs="黑体"/>
          <w:b w:val="0"/>
          <w:bCs w:val="0"/>
          <w:iCs/>
          <w:kern w:val="0"/>
          <w:sz w:val="28"/>
          <w:szCs w:val="28"/>
          <w:lang w:val="en-US" w:eastAsia="zh-CN"/>
        </w:rPr>
      </w:pPr>
      <w:r>
        <w:rPr>
          <w:rFonts w:hint="eastAsia" w:ascii="黑体" w:hAnsi="黑体" w:eastAsia="黑体" w:cs="黑体"/>
          <w:b w:val="0"/>
          <w:bCs w:val="0"/>
          <w:iCs/>
          <w:kern w:val="0"/>
          <w:sz w:val="28"/>
          <w:szCs w:val="28"/>
          <w:lang w:val="en-US" w:eastAsia="zh-CN"/>
        </w:rPr>
        <w:t>一、课题说明</w:t>
      </w:r>
    </w:p>
    <w:p w14:paraId="2355B2BE">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为促进信息技术与教育深度融合，中心与福建星网锐捷智教科技有限公司、北京弧聚科技有限公司联合设立“星网锐捷数字教育创新专项”，支持高校及其附属单位开展高等教育数字创新、职业教育数字创新、数字化转型下智慧新基建领域的数字应用创新，通过产学研协同赋能教创融合，构建数字教育生态，培育数字人才，助力教育高质量发展。</w:t>
      </w:r>
    </w:p>
    <w:p w14:paraId="23D9EAFD">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确定的研究内容，专项分为一般课题和重点课题：其中，一般课题为每个立项课题提供总经费10万元至40万元的课题研究经费及科研软硬件平台支持，其中课题研究经费5万元至20万元；重点课题不超过15个，为每个立项课题提供总经费40万元至100万元的课题研究经费及科研软硬件平台支持，其中课题研究经费20万元至50万元。课题申请人无需向资助企业额外购买配套设备或软件。</w:t>
      </w:r>
    </w:p>
    <w:p w14:paraId="2C389BA3">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3.课题的选题方向和申请条件需符合《星网锐捷数字教育创新专项申请指南说明》（</w:t>
      </w:r>
      <w:r>
        <w:rPr>
          <w:rFonts w:hint="eastAsia" w:asciiTheme="minorEastAsia" w:hAnsiTheme="minorEastAsia" w:eastAsiaTheme="minorEastAsia" w:cstheme="minorEastAsia"/>
          <w:sz w:val="24"/>
          <w:szCs w:val="24"/>
          <w:lang w:val="en-US" w:eastAsia="zh-CN"/>
        </w:rPr>
        <w:t>见后</w:t>
      </w:r>
      <w:r>
        <w:rPr>
          <w:rFonts w:hint="eastAsia" w:asciiTheme="minorEastAsia" w:hAnsiTheme="minorEastAsia" w:eastAsiaTheme="minorEastAsia" w:cstheme="minorEastAsia"/>
          <w:sz w:val="24"/>
          <w:szCs w:val="24"/>
        </w:rPr>
        <w:t>）的要求。</w:t>
      </w:r>
    </w:p>
    <w:p w14:paraId="1B63D075">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4.课题的计划执行时间为2026年12月1日～2027年11月30日，可根据课题复杂程度延长执行周期，最长不超过两年。</w:t>
      </w:r>
    </w:p>
    <w:p w14:paraId="1CD7B824">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5.资助课题获得的知识产权由资助方和课题承担单位共同所有</w:t>
      </w:r>
    </w:p>
    <w:p w14:paraId="07C86A06">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outlineLvl w:val="1"/>
        <w:rPr>
          <w:rFonts w:hint="eastAsia" w:ascii="黑体" w:hAnsi="黑体" w:eastAsia="黑体" w:cs="黑体"/>
          <w:b w:val="0"/>
          <w:bCs w:val="0"/>
          <w:iCs/>
          <w:kern w:val="0"/>
          <w:sz w:val="28"/>
          <w:szCs w:val="28"/>
        </w:rPr>
      </w:pPr>
      <w:r>
        <w:rPr>
          <w:rFonts w:hint="eastAsia" w:ascii="黑体" w:hAnsi="黑体" w:eastAsia="黑体" w:cs="黑体"/>
          <w:b w:val="0"/>
          <w:bCs w:val="0"/>
          <w:iCs/>
          <w:kern w:val="0"/>
          <w:sz w:val="28"/>
          <w:szCs w:val="28"/>
          <w:lang w:val="en-US" w:eastAsia="zh-CN"/>
        </w:rPr>
        <w:t>二</w:t>
      </w:r>
      <w:r>
        <w:rPr>
          <w:rFonts w:hint="eastAsia" w:ascii="黑体" w:hAnsi="黑体" w:eastAsia="黑体" w:cs="黑体"/>
          <w:b w:val="0"/>
          <w:bCs w:val="0"/>
          <w:iCs/>
          <w:kern w:val="0"/>
          <w:sz w:val="28"/>
          <w:szCs w:val="28"/>
        </w:rPr>
        <w:t>、联系人及联系方式</w:t>
      </w:r>
    </w:p>
    <w:p w14:paraId="2A18206A">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1.教育部高等学校科学研究发展中心联系人：</w:t>
      </w:r>
    </w:p>
    <w:p w14:paraId="6178F59D">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 杰 电话：010-62514689</w:t>
      </w:r>
    </w:p>
    <w:p w14:paraId="16D17B76">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2.企业联系人：</w:t>
      </w:r>
    </w:p>
    <w:p w14:paraId="4951A1FC">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代志超 电话：18213993954</w:t>
      </w:r>
    </w:p>
    <w:p w14:paraId="05AD4AE4">
      <w:pPr>
        <w:keepNext w:val="0"/>
        <w:keepLines w:val="0"/>
        <w:pageBreakBefore w:val="0"/>
        <w:kinsoku/>
        <w:wordWrap/>
        <w:overflowPunct/>
        <w:topLinePunct w:val="0"/>
        <w:autoSpaceDE/>
        <w:autoSpaceDN/>
        <w:bidi w:val="0"/>
        <w:adjustRightInd/>
        <w:spacing w:line="46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陈友武 电话：13860637921</w:t>
      </w:r>
    </w:p>
    <w:p w14:paraId="5A9B41BA">
      <w:pPr>
        <w:widowControl/>
        <w:snapToGrid w:val="0"/>
        <w:spacing w:line="480" w:lineRule="exact"/>
        <w:jc w:val="center"/>
        <w:outlineLvl w:val="0"/>
        <w:rPr>
          <w:rFonts w:hint="eastAsia" w:asciiTheme="minorEastAsia" w:hAnsiTheme="minorEastAsia" w:eastAsiaTheme="minorEastAsia" w:cstheme="minorEastAsia"/>
          <w:b/>
          <w:bCs/>
          <w:iCs/>
          <w:kern w:val="0"/>
          <w:sz w:val="32"/>
          <w:szCs w:val="32"/>
        </w:rPr>
      </w:pPr>
    </w:p>
    <w:p w14:paraId="221BDEBE">
      <w:pPr>
        <w:widowControl/>
        <w:snapToGrid w:val="0"/>
        <w:spacing w:line="480" w:lineRule="exact"/>
        <w:jc w:val="center"/>
        <w:outlineLvl w:val="0"/>
        <w:rPr>
          <w:rFonts w:asciiTheme="minorEastAsia" w:hAnsiTheme="minorEastAsia" w:eastAsiaTheme="minorEastAsia" w:cstheme="minorEastAsia"/>
          <w:b/>
          <w:bCs/>
          <w:iCs/>
          <w:kern w:val="0"/>
          <w:sz w:val="32"/>
          <w:szCs w:val="32"/>
        </w:rPr>
      </w:pPr>
      <w:r>
        <w:rPr>
          <w:rFonts w:hint="eastAsia" w:asciiTheme="minorEastAsia" w:hAnsiTheme="minorEastAsia" w:eastAsiaTheme="minorEastAsia" w:cstheme="minorEastAsia"/>
          <w:b/>
          <w:bCs/>
          <w:iCs/>
          <w:kern w:val="0"/>
          <w:sz w:val="32"/>
          <w:szCs w:val="32"/>
        </w:rPr>
        <w:t>中国高校产学研创新基金</w:t>
      </w:r>
      <w:bookmarkEnd w:id="0"/>
      <w:r>
        <w:rPr>
          <w:rFonts w:hint="eastAsia" w:asciiTheme="minorEastAsia" w:hAnsiTheme="minorEastAsia" w:eastAsiaTheme="minorEastAsia" w:cstheme="minorEastAsia"/>
          <w:b/>
          <w:bCs/>
          <w:iCs/>
          <w:kern w:val="0"/>
          <w:sz w:val="32"/>
          <w:szCs w:val="32"/>
        </w:rPr>
        <w:t>-星网锐捷数字教育创新专项</w:t>
      </w:r>
    </w:p>
    <w:p w14:paraId="73428452">
      <w:pPr>
        <w:widowControl/>
        <w:snapToGrid w:val="0"/>
        <w:spacing w:after="312" w:afterLines="100" w:line="480" w:lineRule="exact"/>
        <w:jc w:val="center"/>
        <w:outlineLvl w:val="0"/>
        <w:rPr>
          <w:rFonts w:asciiTheme="minorEastAsia" w:hAnsiTheme="minorEastAsia" w:eastAsiaTheme="minorEastAsia" w:cstheme="minorEastAsia"/>
          <w:b/>
          <w:bCs/>
          <w:iCs/>
          <w:kern w:val="0"/>
          <w:sz w:val="32"/>
          <w:szCs w:val="32"/>
        </w:rPr>
      </w:pPr>
      <w:r>
        <w:rPr>
          <w:rFonts w:hint="eastAsia" w:asciiTheme="minorEastAsia" w:hAnsiTheme="minorEastAsia" w:eastAsiaTheme="minorEastAsia" w:cstheme="minorEastAsia"/>
          <w:b/>
          <w:bCs/>
          <w:iCs/>
          <w:kern w:val="0"/>
          <w:sz w:val="32"/>
          <w:szCs w:val="32"/>
        </w:rPr>
        <w:t>申请指南说明</w:t>
      </w:r>
    </w:p>
    <w:p w14:paraId="0C47D8CC">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 《关于申报2026年中国高校产学研创新基金的通知》（教科发中心函</w:t>
      </w: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asciiTheme="minorEastAsia" w:hAnsiTheme="minorEastAsia" w:eastAsiaTheme="minorEastAsia" w:cstheme="minorEastAsia"/>
          <w:color w:val="000000" w:themeColor="text1"/>
          <w:sz w:val="24"/>
          <w:szCs w:val="24"/>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号)的相关要求，教育部高等学校科学研究发展中心与福建星网锐捷智教科技有限</w:t>
      </w:r>
      <w:r>
        <w:rPr>
          <w:rFonts w:hint="eastAsia" w:asciiTheme="minorEastAsia" w:hAnsiTheme="minorEastAsia" w:eastAsiaTheme="minorEastAsia" w:cstheme="minorEastAsia"/>
          <w:sz w:val="24"/>
          <w:szCs w:val="24"/>
        </w:rPr>
        <w:t>公司、北京弧聚科技有限公司联合设立“2</w:t>
      </w:r>
      <w:r>
        <w:rPr>
          <w:rFonts w:asciiTheme="minorEastAsia" w:hAnsiTheme="minorEastAsia" w:eastAsiaTheme="minorEastAsia" w:cstheme="minorEastAsia"/>
          <w:sz w:val="24"/>
          <w:szCs w:val="24"/>
        </w:rPr>
        <w:t>026</w:t>
      </w:r>
      <w:r>
        <w:rPr>
          <w:rFonts w:hint="eastAsia" w:asciiTheme="minorEastAsia" w:hAnsiTheme="minorEastAsia" w:eastAsiaTheme="minorEastAsia" w:cstheme="minorEastAsia"/>
          <w:sz w:val="24"/>
          <w:szCs w:val="24"/>
        </w:rPr>
        <w:t>年中国高校产学研创新基金-星网锐捷数字教育创新专项”，支持高校及其附属单位开展高等教育数字创新、职业教育数字创新、数字化转型下智慧新基建领域的数字应用创新，通过产学研协同赋能教创融合，构建数字教育生态，培育数字人才，助力教育高质量发展。</w:t>
      </w:r>
    </w:p>
    <w:p w14:paraId="6C21D9DA">
      <w:pPr>
        <w:widowControl/>
        <w:snapToGrid w:val="0"/>
        <w:spacing w:line="480" w:lineRule="exact"/>
        <w:ind w:firstLine="560" w:firstLineChars="200"/>
        <w:contextualSpacing/>
        <w:outlineLvl w:val="1"/>
        <w:rPr>
          <w:rFonts w:hint="eastAsia" w:ascii="黑体" w:hAnsi="黑体" w:eastAsia="黑体" w:cs="黑体"/>
          <w:b w:val="0"/>
          <w:bCs w:val="0"/>
          <w:iCs/>
          <w:kern w:val="0"/>
          <w:sz w:val="28"/>
          <w:szCs w:val="28"/>
        </w:rPr>
      </w:pPr>
      <w:r>
        <w:rPr>
          <w:rFonts w:hint="eastAsia" w:ascii="黑体" w:hAnsi="黑体" w:eastAsia="黑体" w:cs="黑体"/>
          <w:b w:val="0"/>
          <w:bCs w:val="0"/>
          <w:iCs/>
          <w:kern w:val="0"/>
          <w:sz w:val="28"/>
          <w:szCs w:val="28"/>
        </w:rPr>
        <w:t>一、课题说明</w:t>
      </w:r>
    </w:p>
    <w:p w14:paraId="60FC70BA">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1.“星网锐捷数字教育创新专项”面向全国遴选合作高校及高校附属单位，聚焦通过产学研协同赋能教创融合，构建数字教育生态，培育数字人才，助力教育高质量发展。</w:t>
      </w:r>
    </w:p>
    <w:p w14:paraId="4D57765E">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2.“星网锐捷数字教育创新专项”的申请截止时间为2026年</w:t>
      </w:r>
      <w:r>
        <w:rPr>
          <w:rFonts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t>日。计划执行时间为2026年12月</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日～2027年</w:t>
      </w:r>
      <w:r>
        <w:rPr>
          <w:rFonts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t>日，可根据课题复杂程度适度延长执行周期，最长不超过两年。</w:t>
      </w:r>
    </w:p>
    <w:p w14:paraId="598CE6D9">
      <w:pPr>
        <w:spacing w:line="480" w:lineRule="exact"/>
        <w:ind w:firstLine="480"/>
        <w:rPr>
          <w:rFonts w:ascii="宋体" w:hAnsi="宋体"/>
          <w:sz w:val="24"/>
          <w:szCs w:val="24"/>
        </w:rPr>
      </w:pPr>
      <w:r>
        <w:rPr>
          <w:rFonts w:hint="eastAsia" w:asciiTheme="minorEastAsia" w:hAnsiTheme="minorEastAsia" w:eastAsiaTheme="minorEastAsia" w:cstheme="minorEastAsia"/>
          <w:sz w:val="24"/>
          <w:szCs w:val="24"/>
        </w:rPr>
        <w:t>3.“星网锐捷数字教育创新专项”分为一般课题和重点课题：</w:t>
      </w:r>
    </w:p>
    <w:p w14:paraId="430D2586">
      <w:pPr>
        <w:spacing w:line="48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⑴ 一般课题为每个立项课题提供总经费</w:t>
      </w:r>
      <w:r>
        <w:rPr>
          <w:rFonts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万元至</w:t>
      </w:r>
      <w:r>
        <w:rPr>
          <w:rFonts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t>万元的课题研究经费及科研软硬件平台支持，其中课题研究经费</w:t>
      </w:r>
      <w:r>
        <w:rPr>
          <w:rFonts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万元至</w:t>
      </w:r>
      <w:r>
        <w:rPr>
          <w:rFonts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t>万元；</w:t>
      </w:r>
    </w:p>
    <w:p w14:paraId="518C40AA">
      <w:pPr>
        <w:spacing w:line="48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 重点课题不超过</w:t>
      </w:r>
      <w:r>
        <w:rPr>
          <w:rFonts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t>个，为每个立项课题提供总经费</w:t>
      </w:r>
      <w:r>
        <w:rPr>
          <w:rFonts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t>万元至</w:t>
      </w:r>
      <w:r>
        <w:rPr>
          <w:rFonts w:asciiTheme="minorEastAsia" w:hAnsiTheme="minorEastAsia" w:eastAsiaTheme="minorEastAsia" w:cstheme="minorEastAsia"/>
          <w:sz w:val="24"/>
          <w:szCs w:val="24"/>
        </w:rPr>
        <w:t>100</w:t>
      </w:r>
      <w:r>
        <w:rPr>
          <w:rFonts w:hint="eastAsia" w:asciiTheme="minorEastAsia" w:hAnsiTheme="minorEastAsia" w:eastAsiaTheme="minorEastAsia" w:cstheme="minorEastAsia"/>
          <w:sz w:val="24"/>
          <w:szCs w:val="24"/>
        </w:rPr>
        <w:t>万元的课题研究经费及科研软硬件平台支持，其中课题研究经费</w:t>
      </w:r>
      <w:r>
        <w:rPr>
          <w:rFonts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t>万元至</w:t>
      </w:r>
      <w:r>
        <w:rPr>
          <w:rFonts w:asciiTheme="minorEastAsia" w:hAnsiTheme="minorEastAsia" w:eastAsiaTheme="minorEastAsia" w:cstheme="minorEastAsia"/>
          <w:sz w:val="24"/>
          <w:szCs w:val="24"/>
        </w:rPr>
        <w:t>50</w:t>
      </w:r>
      <w:r>
        <w:rPr>
          <w:rFonts w:hint="eastAsia" w:asciiTheme="minorEastAsia" w:hAnsiTheme="minorEastAsia" w:eastAsiaTheme="minorEastAsia" w:cstheme="minorEastAsia"/>
          <w:sz w:val="24"/>
          <w:szCs w:val="24"/>
        </w:rPr>
        <w:t>万元。</w:t>
      </w:r>
    </w:p>
    <w:p w14:paraId="55B136BD">
      <w:pPr>
        <w:spacing w:line="480" w:lineRule="exact"/>
        <w:ind w:firstLine="480" w:firstLineChars="200"/>
        <w:rPr>
          <w:rFonts w:asciiTheme="minorEastAsia" w:hAnsiTheme="minorEastAsia" w:eastAsiaTheme="minorEastAsia" w:cstheme="minorEastAsia"/>
          <w:sz w:val="24"/>
          <w:szCs w:val="24"/>
        </w:rPr>
      </w:pPr>
      <w:r>
        <w:rPr>
          <w:rFonts w:hint="eastAsia" w:ascii="宋体" w:hAnsi="宋体" w:eastAsia="宋体"/>
          <w:sz w:val="24"/>
          <w:szCs w:val="24"/>
        </w:rPr>
        <w:t>4.</w:t>
      </w:r>
      <w:r>
        <w:rPr>
          <w:rFonts w:hint="eastAsia" w:asciiTheme="minorEastAsia" w:hAnsiTheme="minorEastAsia" w:eastAsiaTheme="minorEastAsia" w:cstheme="minorEastAsia"/>
          <w:sz w:val="24"/>
          <w:szCs w:val="24"/>
        </w:rPr>
        <w:t>“星网锐捷数字教育创新专项”基金课题的选题包括三个方向：</w:t>
      </w:r>
    </w:p>
    <w:p w14:paraId="23C6CE8C">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⑴ 高等教育数字创新：面向本科院校，选题方向见表一；</w:t>
      </w:r>
    </w:p>
    <w:p w14:paraId="69CA56DA">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 职业教育数字创新：面向高职院校，选题方向见表二；</w:t>
      </w:r>
    </w:p>
    <w:p w14:paraId="7FDC48DA">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⑶</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数字化转型下智慧新基建创新：面向本科院校、高职院校，选题方向见表三。</w:t>
      </w:r>
    </w:p>
    <w:p w14:paraId="368B8F5A">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⑷ 申请人选择课题方向进行申报。基金课题提供的相关技术、应用和软硬件平台见表四。</w:t>
      </w:r>
    </w:p>
    <w:p w14:paraId="3D6084C8">
      <w:pPr>
        <w:spacing w:line="360" w:lineRule="auto"/>
        <w:ind w:firstLine="482" w:firstLineChars="200"/>
        <w:jc w:val="center"/>
        <w:rPr>
          <w:rFonts w:hint="eastAsia" w:asciiTheme="minorEastAsia" w:hAnsiTheme="minorEastAsia" w:eastAsiaTheme="minorEastAsia" w:cstheme="minorEastAsia"/>
          <w:b/>
          <w:bCs/>
          <w:sz w:val="24"/>
          <w:szCs w:val="24"/>
        </w:rPr>
      </w:pPr>
    </w:p>
    <w:p w14:paraId="66AAA4CD">
      <w:pPr>
        <w:spacing w:line="360" w:lineRule="auto"/>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表一 “高等教育数字创新（面向本科）”选题列表</w:t>
      </w:r>
    </w:p>
    <w:tbl>
      <w:tblPr>
        <w:tblStyle w:val="8"/>
        <w:tblW w:w="51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701"/>
        <w:gridCol w:w="6549"/>
      </w:tblGrid>
      <w:tr w14:paraId="388E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3" w:type="pct"/>
            <w:tcBorders>
              <w:top w:val="single" w:color="auto" w:sz="4" w:space="0"/>
              <w:left w:val="single" w:color="auto" w:sz="4" w:space="0"/>
              <w:bottom w:val="single" w:color="auto" w:sz="4" w:space="0"/>
              <w:right w:val="single" w:color="auto" w:sz="4" w:space="0"/>
            </w:tcBorders>
            <w:shd w:val="clear" w:color="auto" w:fill="BFBFBF"/>
            <w:vAlign w:val="center"/>
          </w:tcPr>
          <w:p w14:paraId="51CC5B4E">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课题方向编号</w:t>
            </w:r>
          </w:p>
        </w:tc>
        <w:tc>
          <w:tcPr>
            <w:tcW w:w="923" w:type="pct"/>
            <w:tcBorders>
              <w:top w:val="single" w:color="auto" w:sz="4" w:space="0"/>
              <w:left w:val="single" w:color="auto" w:sz="4" w:space="0"/>
              <w:bottom w:val="single" w:color="auto" w:sz="4" w:space="0"/>
              <w:right w:val="single" w:color="auto" w:sz="4" w:space="0"/>
            </w:tcBorders>
            <w:shd w:val="clear" w:color="auto" w:fill="BFBFBF"/>
            <w:noWrap/>
            <w:vAlign w:val="center"/>
          </w:tcPr>
          <w:p w14:paraId="25C894FF">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课题方向</w:t>
            </w:r>
          </w:p>
        </w:tc>
        <w:tc>
          <w:tcPr>
            <w:tcW w:w="3554" w:type="pct"/>
            <w:tcBorders>
              <w:top w:val="single" w:color="auto" w:sz="4" w:space="0"/>
              <w:left w:val="single" w:color="auto" w:sz="4" w:space="0"/>
              <w:bottom w:val="single" w:color="auto" w:sz="4" w:space="0"/>
              <w:right w:val="single" w:color="auto" w:sz="4" w:space="0"/>
            </w:tcBorders>
            <w:shd w:val="clear" w:color="auto" w:fill="BFBFBF"/>
            <w:vAlign w:val="center"/>
          </w:tcPr>
          <w:p w14:paraId="70F4C569">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课题研究内容</w:t>
            </w:r>
          </w:p>
        </w:tc>
      </w:tr>
      <w:tr w14:paraId="6D53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jc w:val="center"/>
        </w:trPr>
        <w:tc>
          <w:tcPr>
            <w:tcW w:w="523" w:type="pct"/>
            <w:tcBorders>
              <w:top w:val="single" w:color="auto" w:sz="4" w:space="0"/>
              <w:left w:val="single" w:color="auto" w:sz="4" w:space="0"/>
              <w:bottom w:val="single" w:color="auto" w:sz="4" w:space="0"/>
              <w:right w:val="single" w:color="auto" w:sz="4" w:space="0"/>
            </w:tcBorders>
            <w:vAlign w:val="center"/>
          </w:tcPr>
          <w:p w14:paraId="5724D00E">
            <w:pPr>
              <w:spacing w:line="320" w:lineRule="exact"/>
              <w:jc w:val="center"/>
              <w:rPr>
                <w:rFonts w:ascii="宋体" w:hAnsi="宋体" w:eastAsia="宋体"/>
                <w:sz w:val="20"/>
                <w:szCs w:val="20"/>
              </w:rPr>
            </w:pPr>
            <w:r>
              <w:rPr>
                <w:rFonts w:hint="eastAsia" w:ascii="宋体" w:hAnsi="宋体" w:eastAsia="宋体"/>
                <w:sz w:val="20"/>
                <w:szCs w:val="20"/>
              </w:rPr>
              <w:t>A01</w:t>
            </w:r>
          </w:p>
        </w:tc>
        <w:tc>
          <w:tcPr>
            <w:tcW w:w="923" w:type="pct"/>
            <w:tcBorders>
              <w:top w:val="single" w:color="auto" w:sz="4" w:space="0"/>
              <w:left w:val="single" w:color="auto" w:sz="4" w:space="0"/>
              <w:bottom w:val="single" w:color="auto" w:sz="4" w:space="0"/>
              <w:right w:val="single" w:color="auto" w:sz="4" w:space="0"/>
            </w:tcBorders>
            <w:noWrap/>
            <w:vAlign w:val="center"/>
          </w:tcPr>
          <w:p w14:paraId="5919ED5F">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AI赋能高等教育教学研究与实践</w:t>
            </w:r>
          </w:p>
        </w:tc>
        <w:tc>
          <w:tcPr>
            <w:tcW w:w="3554" w:type="pct"/>
            <w:tcBorders>
              <w:top w:val="single" w:color="auto" w:sz="4" w:space="0"/>
              <w:left w:val="single" w:color="auto" w:sz="4" w:space="0"/>
              <w:bottom w:val="single" w:color="auto" w:sz="4" w:space="0"/>
              <w:right w:val="single" w:color="auto" w:sz="4" w:space="0"/>
            </w:tcBorders>
            <w:vAlign w:val="center"/>
          </w:tcPr>
          <w:p w14:paraId="6454409E">
            <w:pPr>
              <w:widowControl/>
              <w:spacing w:line="320" w:lineRule="exact"/>
              <w:ind w:firstLine="402"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专业/学科/课程垂直大模型的应用与落地研究：</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结合本校特色专业、学科优势或产教融合优势，围绕地区或行业需求，深入研究专业/学科/课程垂直大模型的示范应用与创新实践。</w:t>
            </w:r>
          </w:p>
          <w:p w14:paraId="70842747">
            <w:pPr>
              <w:widowControl/>
              <w:spacing w:line="320" w:lineRule="exact"/>
              <w:ind w:firstLine="402"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人工智能通识教育研究：</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研究内容包括但不限于（研究型高校、应用型高校）差异化课程建设、常态课程体系完善、实践活动体系构建、多元评价体系建立、师资队伍建设等。</w:t>
            </w:r>
          </w:p>
          <w:p w14:paraId="33169794">
            <w:pPr>
              <w:widowControl/>
              <w:spacing w:line="320" w:lineRule="exact"/>
              <w:ind w:firstLine="402"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“人工智能+”学科专业体系建设研究：</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聚集高等教育交叉复合型创新人才培养，依托本校优势学科，研究内容包括但不限于：A</w:t>
            </w:r>
            <w:r>
              <w:rPr>
                <w:rFonts w:asciiTheme="minorEastAsia" w:hAnsiTheme="minorEastAsia" w:eastAsiaTheme="minorEastAsia" w:cstheme="minorEastAsia"/>
                <w:color w:val="000000" w:themeColor="text1"/>
                <w:sz w:val="20"/>
                <w:szCs w:val="20"/>
                <w:lang w:bidi="ar"/>
                <w14:textFill>
                  <w14:solidFill>
                    <w14:schemeClr w14:val="tx1"/>
                  </w14:solidFill>
                </w14:textFill>
              </w:rPr>
              <w:t>I</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赋能四新学科建设与研究；推动学科交叉融合、国内一流的人工智能领域优势学科和品牌专业集群建设研究与实践。</w:t>
            </w:r>
          </w:p>
        </w:tc>
      </w:tr>
      <w:tr w14:paraId="4BEB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jc w:val="center"/>
        </w:trPr>
        <w:tc>
          <w:tcPr>
            <w:tcW w:w="523" w:type="pct"/>
            <w:tcBorders>
              <w:top w:val="single" w:color="auto" w:sz="4" w:space="0"/>
              <w:left w:val="single" w:color="auto" w:sz="4" w:space="0"/>
              <w:bottom w:val="single" w:color="auto" w:sz="4" w:space="0"/>
              <w:right w:val="single" w:color="auto" w:sz="4" w:space="0"/>
            </w:tcBorders>
            <w:vAlign w:val="center"/>
          </w:tcPr>
          <w:p w14:paraId="15D12304">
            <w:pPr>
              <w:spacing w:line="320" w:lineRule="exact"/>
              <w:jc w:val="center"/>
              <w:rPr>
                <w:rFonts w:ascii="宋体" w:hAnsi="宋体" w:eastAsia="宋体"/>
                <w:sz w:val="20"/>
                <w:szCs w:val="20"/>
              </w:rPr>
            </w:pPr>
            <w:r>
              <w:rPr>
                <w:rFonts w:hint="eastAsia" w:ascii="宋体" w:hAnsi="宋体" w:eastAsia="宋体"/>
                <w:sz w:val="20"/>
                <w:szCs w:val="20"/>
              </w:rPr>
              <w:t>A02</w:t>
            </w:r>
          </w:p>
        </w:tc>
        <w:tc>
          <w:tcPr>
            <w:tcW w:w="923" w:type="pct"/>
            <w:tcBorders>
              <w:top w:val="single" w:color="auto" w:sz="4" w:space="0"/>
              <w:left w:val="single" w:color="auto" w:sz="4" w:space="0"/>
              <w:bottom w:val="single" w:color="auto" w:sz="4" w:space="0"/>
              <w:right w:val="single" w:color="auto" w:sz="4" w:space="0"/>
            </w:tcBorders>
            <w:noWrap/>
            <w:vAlign w:val="center"/>
          </w:tcPr>
          <w:p w14:paraId="7B09EA74">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 xml:space="preserve">高等教育 </w:t>
            </w: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AI Skills</w:t>
            </w:r>
            <w:r>
              <w:rPr>
                <w:rFonts w:asciiTheme="minorEastAsia" w:hAnsiTheme="minorEastAsia" w:eastAsiaTheme="minorEastAsia" w:cstheme="minorEastAsia"/>
                <w:color w:val="000000" w:themeColor="text1"/>
                <w:sz w:val="20"/>
                <w:szCs w:val="20"/>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创新创作研究与实践</w:t>
            </w:r>
          </w:p>
        </w:tc>
        <w:tc>
          <w:tcPr>
            <w:tcW w:w="3554" w:type="pct"/>
            <w:tcBorders>
              <w:top w:val="single" w:color="auto" w:sz="4" w:space="0"/>
              <w:left w:val="single" w:color="auto" w:sz="4" w:space="0"/>
              <w:bottom w:val="single" w:color="auto" w:sz="4" w:space="0"/>
              <w:right w:val="single" w:color="auto" w:sz="4" w:space="0"/>
            </w:tcBorders>
            <w:vAlign w:val="center"/>
          </w:tcPr>
          <w:p w14:paraId="5600C917">
            <w:pPr>
              <w:widowControl/>
              <w:spacing w:line="320" w:lineRule="exact"/>
              <w:ind w:firstLine="400"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聚焦A</w:t>
            </w:r>
            <w:r>
              <w:rPr>
                <w:rFonts w:asciiTheme="minorEastAsia" w:hAnsiTheme="minorEastAsia" w:eastAsiaTheme="minorEastAsia" w:cstheme="minorEastAsia"/>
                <w:color w:val="000000" w:themeColor="text1"/>
                <w:sz w:val="20"/>
                <w:szCs w:val="20"/>
                <w:lang w:bidi="ar"/>
                <w14:textFill>
                  <w14:solidFill>
                    <w14:schemeClr w14:val="tx1"/>
                  </w14:solidFill>
                </w14:textFill>
              </w:rPr>
              <w:t>I S</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ki</w:t>
            </w:r>
            <w:r>
              <w:rPr>
                <w:rFonts w:asciiTheme="minorEastAsia" w:hAnsiTheme="minorEastAsia" w:eastAsiaTheme="minorEastAsia" w:cstheme="minorEastAsia"/>
                <w:color w:val="000000" w:themeColor="text1"/>
                <w:sz w:val="20"/>
                <w:szCs w:val="20"/>
                <w:lang w:bidi="ar"/>
                <w14:textFill>
                  <w14:solidFill>
                    <w14:schemeClr w14:val="tx1"/>
                  </w14:solidFill>
                </w14:textFill>
              </w:rPr>
              <w:t>lls</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 xml:space="preserve"> 赋能高等教育发展的核心目标，</w:t>
            </w: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研究内容包括但不限于：</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学科</w:t>
            </w:r>
            <w:r>
              <w:rPr>
                <w:rFonts w:asciiTheme="minorEastAsia" w:hAnsiTheme="minorEastAsia" w:eastAsiaTheme="minorEastAsia" w:cstheme="minorEastAsia"/>
                <w:color w:val="000000" w:themeColor="text1"/>
                <w:sz w:val="20"/>
                <w:szCs w:val="20"/>
                <w:lang w:bidi="ar"/>
                <w14:textFill>
                  <w14:solidFill>
                    <w14:schemeClr w14:val="tx1"/>
                  </w14:solidFill>
                </w14:textFill>
              </w:rPr>
              <w:t>/</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专业/课程A</w:t>
            </w:r>
            <w:r>
              <w:rPr>
                <w:rFonts w:asciiTheme="minorEastAsia" w:hAnsiTheme="minorEastAsia" w:eastAsiaTheme="minorEastAsia" w:cstheme="minorEastAsia"/>
                <w:color w:val="000000" w:themeColor="text1"/>
                <w:sz w:val="20"/>
                <w:szCs w:val="20"/>
                <w:lang w:bidi="ar"/>
                <w14:textFill>
                  <w14:solidFill>
                    <w14:schemeClr w14:val="tx1"/>
                  </w14:solidFill>
                </w14:textFill>
              </w:rPr>
              <w:t>I S</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ki</w:t>
            </w:r>
            <w:r>
              <w:rPr>
                <w:rFonts w:asciiTheme="minorEastAsia" w:hAnsiTheme="minorEastAsia" w:eastAsiaTheme="minorEastAsia" w:cstheme="minorEastAsia"/>
                <w:color w:val="000000" w:themeColor="text1"/>
                <w:sz w:val="20"/>
                <w:szCs w:val="20"/>
                <w:lang w:bidi="ar"/>
                <w14:textFill>
                  <w14:solidFill>
                    <w14:schemeClr w14:val="tx1"/>
                  </w14:solidFill>
                </w14:textFill>
              </w:rPr>
              <w:t>lls</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探索与实践、基础理论与体系构建研究、教育场景化的AI Skills 技术架构与开发方法研究、教学融合与课堂创新研究、科研赋能与学术创新研究、创新创作与实践能力研究、管理服务与治理现代化研究、伦理安全与风险治理研究、质量评价与效果实证研究、生态建设与共创机制研究、实践落地与推广路径研究等方向。</w:t>
            </w:r>
          </w:p>
          <w:p w14:paraId="79B515DC">
            <w:pPr>
              <w:widowControl/>
              <w:spacing w:line="320" w:lineRule="exact"/>
              <w:ind w:firstLine="402"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详情见本指南附录《高等教育、职业教育AI Skills 创新创作研究与实践方向指引》</w:t>
            </w:r>
          </w:p>
        </w:tc>
      </w:tr>
      <w:tr w14:paraId="0B19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523" w:type="pct"/>
            <w:tcBorders>
              <w:top w:val="single" w:color="auto" w:sz="4" w:space="0"/>
              <w:left w:val="single" w:color="auto" w:sz="4" w:space="0"/>
              <w:bottom w:val="single" w:color="auto" w:sz="4" w:space="0"/>
              <w:right w:val="single" w:color="auto" w:sz="4" w:space="0"/>
            </w:tcBorders>
            <w:vAlign w:val="center"/>
          </w:tcPr>
          <w:p w14:paraId="6DAB8326">
            <w:pPr>
              <w:spacing w:line="320" w:lineRule="exact"/>
              <w:jc w:val="center"/>
              <w:rPr>
                <w:rFonts w:ascii="宋体" w:hAnsi="宋体" w:eastAsia="宋体"/>
                <w:sz w:val="20"/>
                <w:szCs w:val="20"/>
              </w:rPr>
            </w:pPr>
            <w:r>
              <w:rPr>
                <w:rFonts w:hint="eastAsia" w:ascii="宋体" w:hAnsi="宋体" w:eastAsia="宋体"/>
                <w:sz w:val="20"/>
                <w:szCs w:val="20"/>
              </w:rPr>
              <w:t>A03</w:t>
            </w:r>
          </w:p>
        </w:tc>
        <w:tc>
          <w:tcPr>
            <w:tcW w:w="923" w:type="pct"/>
            <w:tcBorders>
              <w:top w:val="single" w:color="auto" w:sz="4" w:space="0"/>
              <w:left w:val="single" w:color="auto" w:sz="4" w:space="0"/>
              <w:bottom w:val="single" w:color="auto" w:sz="4" w:space="0"/>
              <w:right w:val="single" w:color="auto" w:sz="4" w:space="0"/>
            </w:tcBorders>
            <w:noWrap/>
            <w:vAlign w:val="center"/>
          </w:tcPr>
          <w:p w14:paraId="2ECEF3A5">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人工智能辅助教学评价研究与应用</w:t>
            </w:r>
          </w:p>
        </w:tc>
        <w:tc>
          <w:tcPr>
            <w:tcW w:w="3554" w:type="pct"/>
            <w:tcBorders>
              <w:top w:val="single" w:color="auto" w:sz="4" w:space="0"/>
              <w:left w:val="single" w:color="auto" w:sz="4" w:space="0"/>
              <w:bottom w:val="single" w:color="auto" w:sz="4" w:space="0"/>
              <w:right w:val="single" w:color="auto" w:sz="4" w:space="0"/>
            </w:tcBorders>
            <w:vAlign w:val="center"/>
          </w:tcPr>
          <w:p w14:paraId="7411AA27">
            <w:pPr>
              <w:widowControl/>
              <w:spacing w:line="320" w:lineRule="exact"/>
              <w:ind w:firstLine="402"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b/>
                <w:color w:val="000000" w:themeColor="text1"/>
                <w:sz w:val="20"/>
                <w:szCs w:val="20"/>
                <w:lang w:bidi="ar"/>
                <w14:textFill>
                  <w14:solidFill>
                    <w14:schemeClr w14:val="tx1"/>
                  </w14:solidFill>
                </w14:textFill>
              </w:rPr>
              <w:t>研究内容包括但不限于</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不同类型本科院校（研究型、应用型）人工智能辅助教学评价的差异化体系构建、教学全流程多模态数据的智能采集与治理、AI辅助教学评价的技术路径与应用场景落地、基于AI的过程性与增值性教学评价指标体系优化、AI教学质量评价系统的定制化适配与应用、教师人工智能辅助教学评价素养培育、教学评价结果的智能诊断与教学改进闭环搭建、人工智能辅助教学评价的应用规范与典型案例库建设等。</w:t>
            </w:r>
          </w:p>
        </w:tc>
      </w:tr>
      <w:tr w14:paraId="2613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23" w:type="pct"/>
            <w:tcBorders>
              <w:top w:val="single" w:color="auto" w:sz="4" w:space="0"/>
              <w:left w:val="single" w:color="auto" w:sz="4" w:space="0"/>
              <w:bottom w:val="single" w:color="auto" w:sz="4" w:space="0"/>
              <w:right w:val="single" w:color="auto" w:sz="4" w:space="0"/>
            </w:tcBorders>
            <w:vAlign w:val="center"/>
          </w:tcPr>
          <w:p w14:paraId="119B1541">
            <w:pPr>
              <w:widowControl/>
              <w:spacing w:line="320" w:lineRule="exact"/>
              <w:jc w:val="center"/>
              <w:rPr>
                <w:rFonts w:eastAsia="宋体" w:asciiTheme="minorEastAsia" w:hAnsiTheme="minorEastAsia" w:cstheme="minorEastAsia"/>
                <w:color w:val="000000" w:themeColor="text1"/>
                <w:sz w:val="20"/>
                <w:szCs w:val="20"/>
                <w:lang w:bidi="ar"/>
                <w14:textFill>
                  <w14:solidFill>
                    <w14:schemeClr w14:val="tx1"/>
                  </w14:solidFill>
                </w14:textFill>
              </w:rPr>
            </w:pPr>
            <w:r>
              <w:rPr>
                <w:rFonts w:hint="eastAsia" w:ascii="宋体" w:hAnsi="宋体" w:eastAsia="宋体"/>
                <w:sz w:val="20"/>
                <w:szCs w:val="20"/>
              </w:rPr>
              <w:t>A04</w:t>
            </w:r>
          </w:p>
        </w:tc>
        <w:tc>
          <w:tcPr>
            <w:tcW w:w="923" w:type="pct"/>
            <w:tcBorders>
              <w:top w:val="single" w:color="auto" w:sz="4" w:space="0"/>
              <w:left w:val="single" w:color="auto" w:sz="4" w:space="0"/>
              <w:bottom w:val="single" w:color="auto" w:sz="4" w:space="0"/>
              <w:right w:val="single" w:color="auto" w:sz="4" w:space="0"/>
            </w:tcBorders>
            <w:noWrap/>
            <w:vAlign w:val="center"/>
          </w:tcPr>
          <w:p w14:paraId="1EC5A24F">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数据要素学科专业建设与数字人才队伍建设研究</w:t>
            </w:r>
          </w:p>
        </w:tc>
        <w:tc>
          <w:tcPr>
            <w:tcW w:w="3554" w:type="pct"/>
            <w:tcBorders>
              <w:top w:val="single" w:color="auto" w:sz="4" w:space="0"/>
              <w:left w:val="single" w:color="auto" w:sz="4" w:space="0"/>
              <w:bottom w:val="single" w:color="auto" w:sz="4" w:space="0"/>
              <w:right w:val="single" w:color="auto" w:sz="4" w:space="0"/>
            </w:tcBorders>
            <w:vAlign w:val="center"/>
          </w:tcPr>
          <w:p w14:paraId="30BE87C4">
            <w:pPr>
              <w:widowControl/>
              <w:spacing w:line="320" w:lineRule="exact"/>
              <w:ind w:firstLine="400"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研究内容包括但不限于数据要素相关学科专业建设研究、综合性高校数字学院建设研究、数据产业发展急需的“微专业”建设研究、数据要素相关学科专业课程教材体系建设研究、数据领域学术共同体建设研究等。</w:t>
            </w:r>
          </w:p>
        </w:tc>
      </w:tr>
      <w:tr w14:paraId="2637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523" w:type="pct"/>
            <w:tcBorders>
              <w:top w:val="single" w:color="auto" w:sz="4" w:space="0"/>
              <w:left w:val="single" w:color="auto" w:sz="4" w:space="0"/>
              <w:bottom w:val="single" w:color="auto" w:sz="4" w:space="0"/>
              <w:right w:val="single" w:color="auto" w:sz="4" w:space="0"/>
            </w:tcBorders>
            <w:vAlign w:val="center"/>
          </w:tcPr>
          <w:p w14:paraId="5D9932F9">
            <w:pPr>
              <w:widowControl/>
              <w:spacing w:line="320" w:lineRule="exact"/>
              <w:jc w:val="center"/>
              <w:rPr>
                <w:rFonts w:eastAsia="宋体" w:asciiTheme="minorEastAsia" w:hAnsiTheme="minorEastAsia" w:cstheme="minorEastAsia"/>
                <w:color w:val="000000" w:themeColor="text1"/>
                <w:sz w:val="20"/>
                <w:szCs w:val="20"/>
                <w:lang w:bidi="ar"/>
                <w14:textFill>
                  <w14:solidFill>
                    <w14:schemeClr w14:val="tx1"/>
                  </w14:solidFill>
                </w14:textFill>
              </w:rPr>
            </w:pPr>
            <w:r>
              <w:rPr>
                <w:rFonts w:hint="eastAsia" w:ascii="宋体" w:hAnsi="宋体" w:eastAsia="宋体"/>
                <w:sz w:val="20"/>
                <w:szCs w:val="20"/>
              </w:rPr>
              <w:t>A05</w:t>
            </w:r>
          </w:p>
        </w:tc>
        <w:tc>
          <w:tcPr>
            <w:tcW w:w="923" w:type="pct"/>
            <w:tcBorders>
              <w:top w:val="single" w:color="auto" w:sz="4" w:space="0"/>
              <w:left w:val="single" w:color="auto" w:sz="4" w:space="0"/>
              <w:bottom w:val="single" w:color="auto" w:sz="4" w:space="0"/>
              <w:right w:val="single" w:color="auto" w:sz="4" w:space="0"/>
            </w:tcBorders>
            <w:noWrap/>
            <w:vAlign w:val="center"/>
          </w:tcPr>
          <w:p w14:paraId="4C0C023D">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智慧课程建设实践与探索</w:t>
            </w:r>
          </w:p>
        </w:tc>
        <w:tc>
          <w:tcPr>
            <w:tcW w:w="3554" w:type="pct"/>
            <w:tcBorders>
              <w:top w:val="single" w:color="auto" w:sz="4" w:space="0"/>
              <w:left w:val="single" w:color="auto" w:sz="4" w:space="0"/>
              <w:bottom w:val="single" w:color="auto" w:sz="4" w:space="0"/>
              <w:right w:val="single" w:color="auto" w:sz="4" w:space="0"/>
            </w:tcBorders>
            <w:vAlign w:val="center"/>
          </w:tcPr>
          <w:p w14:paraId="6AF02174">
            <w:pPr>
              <w:widowControl/>
              <w:spacing w:line="320" w:lineRule="exact"/>
              <w:ind w:firstLine="400" w:firstLineChars="200"/>
              <w:rPr>
                <w:rFonts w:asciiTheme="minorEastAsia" w:hAnsiTheme="minorEastAsia" w:eastAsiaTheme="minorEastAsia" w:cstheme="minorEastAsia"/>
                <w:b/>
                <w:bCs/>
                <w:sz w:val="20"/>
                <w:szCs w:val="20"/>
                <w:lang w:bidi="ar"/>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为促进人工智能与教育教学深度融合，推动高校智慧课程建设，本研究包括但不限于以下内容：颠覆性智慧课程创新与实践、AI在智慧课程中的应用、智慧课程教学模式创新、典型案例建设、智慧课程评价体系、个性化学习路径与学习画像的构建，以及智能体在智慧课程中的应用场景等。</w:t>
            </w:r>
          </w:p>
        </w:tc>
      </w:tr>
      <w:tr w14:paraId="67DD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pct"/>
            <w:tcBorders>
              <w:top w:val="single" w:color="auto" w:sz="4" w:space="0"/>
              <w:left w:val="single" w:color="auto" w:sz="4" w:space="0"/>
              <w:bottom w:val="single" w:color="auto" w:sz="4" w:space="0"/>
              <w:right w:val="single" w:color="auto" w:sz="4" w:space="0"/>
            </w:tcBorders>
            <w:vAlign w:val="center"/>
          </w:tcPr>
          <w:p w14:paraId="74F06C76">
            <w:pPr>
              <w:widowControl/>
              <w:spacing w:line="320" w:lineRule="exact"/>
              <w:jc w:val="center"/>
              <w:rPr>
                <w:rFonts w:ascii="宋体" w:hAnsi="宋体" w:eastAsia="宋体"/>
                <w:sz w:val="20"/>
                <w:szCs w:val="20"/>
              </w:rPr>
            </w:pPr>
            <w:r>
              <w:rPr>
                <w:rFonts w:hint="eastAsia" w:ascii="宋体" w:hAnsi="宋体" w:eastAsia="宋体"/>
                <w:sz w:val="20"/>
                <w:szCs w:val="20"/>
              </w:rPr>
              <w:t>A06</w:t>
            </w:r>
          </w:p>
        </w:tc>
        <w:tc>
          <w:tcPr>
            <w:tcW w:w="923" w:type="pct"/>
            <w:tcBorders>
              <w:top w:val="single" w:color="auto" w:sz="4" w:space="0"/>
              <w:left w:val="single" w:color="auto" w:sz="4" w:space="0"/>
              <w:bottom w:val="single" w:color="auto" w:sz="4" w:space="0"/>
              <w:right w:val="single" w:color="auto" w:sz="4" w:space="0"/>
            </w:tcBorders>
            <w:noWrap/>
            <w:vAlign w:val="center"/>
          </w:tcPr>
          <w:p w14:paraId="6A349067">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未来学习中心建设研究与实践</w:t>
            </w:r>
          </w:p>
        </w:tc>
        <w:tc>
          <w:tcPr>
            <w:tcW w:w="3554" w:type="pct"/>
            <w:tcBorders>
              <w:top w:val="single" w:color="auto" w:sz="4" w:space="0"/>
              <w:left w:val="single" w:color="auto" w:sz="4" w:space="0"/>
              <w:bottom w:val="single" w:color="auto" w:sz="4" w:space="0"/>
              <w:right w:val="single" w:color="auto" w:sz="4" w:space="0"/>
            </w:tcBorders>
            <w:vAlign w:val="center"/>
          </w:tcPr>
          <w:p w14:paraId="629FE900">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聚焦跨学科科研协作、“人工智能+”双学位培养等场景，进行教学、科研、实训于一体的新型学习空间研究与实践。</w:t>
            </w:r>
          </w:p>
        </w:tc>
      </w:tr>
      <w:tr w14:paraId="1E38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pct"/>
            <w:tcBorders>
              <w:top w:val="single" w:color="auto" w:sz="4" w:space="0"/>
              <w:left w:val="single" w:color="auto" w:sz="4" w:space="0"/>
              <w:bottom w:val="single" w:color="auto" w:sz="4" w:space="0"/>
              <w:right w:val="single" w:color="auto" w:sz="4" w:space="0"/>
            </w:tcBorders>
            <w:vAlign w:val="center"/>
          </w:tcPr>
          <w:p w14:paraId="5EEEEADA">
            <w:pPr>
              <w:widowControl/>
              <w:spacing w:line="320" w:lineRule="exact"/>
              <w:jc w:val="center"/>
              <w:rPr>
                <w:rFonts w:ascii="宋体" w:hAnsi="宋体" w:eastAsia="宋体"/>
                <w:sz w:val="20"/>
                <w:szCs w:val="20"/>
              </w:rPr>
            </w:pPr>
            <w:r>
              <w:rPr>
                <w:rFonts w:hint="eastAsia" w:ascii="宋体" w:hAnsi="宋体" w:eastAsia="宋体"/>
                <w:sz w:val="20"/>
                <w:szCs w:val="20"/>
              </w:rPr>
              <w:t>A07</w:t>
            </w:r>
          </w:p>
        </w:tc>
        <w:tc>
          <w:tcPr>
            <w:tcW w:w="923" w:type="pct"/>
            <w:tcBorders>
              <w:top w:val="single" w:color="auto" w:sz="4" w:space="0"/>
              <w:left w:val="single" w:color="auto" w:sz="4" w:space="0"/>
              <w:bottom w:val="single" w:color="auto" w:sz="4" w:space="0"/>
              <w:right w:val="single" w:color="auto" w:sz="4" w:space="0"/>
            </w:tcBorders>
            <w:noWrap/>
            <w:vAlign w:val="center"/>
          </w:tcPr>
          <w:p w14:paraId="2D187FBF">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sz w:val="20"/>
                <w:szCs w:val="20"/>
                <w:lang w:bidi="ar"/>
              </w:rPr>
              <w:t>具身智能学科与专业建设研究与探索</w:t>
            </w:r>
          </w:p>
        </w:tc>
        <w:tc>
          <w:tcPr>
            <w:tcW w:w="3554" w:type="pct"/>
            <w:tcBorders>
              <w:top w:val="single" w:color="auto" w:sz="4" w:space="0"/>
              <w:left w:val="single" w:color="auto" w:sz="4" w:space="0"/>
              <w:bottom w:val="single" w:color="auto" w:sz="4" w:space="0"/>
              <w:right w:val="single" w:color="auto" w:sz="4" w:space="0"/>
            </w:tcBorders>
            <w:vAlign w:val="center"/>
          </w:tcPr>
          <w:p w14:paraId="2A759A6A">
            <w:pPr>
              <w:pStyle w:val="7"/>
              <w:widowControl/>
              <w:spacing w:beforeAutospacing="0" w:afterAutospacing="0" w:line="320" w:lineRule="exact"/>
              <w:ind w:firstLine="400" w:firstLineChars="20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rPr>
              <w:t>在教育数字化与“人工智能+”行动背景下，面向智能制造与机器人、数字经济等新兴产业需求，依托高校优势学科与区域产业特色，开展AI与具身智能交叉融合的学科与专业建设研究。</w:t>
            </w:r>
            <w:r>
              <w:rPr>
                <w:rFonts w:hint="eastAsia" w:asciiTheme="minorEastAsia" w:hAnsiTheme="minorEastAsia" w:eastAsiaTheme="minorEastAsia" w:cstheme="minorEastAsia"/>
                <w:b/>
                <w:bCs/>
                <w:kern w:val="2"/>
                <w:sz w:val="20"/>
                <w:szCs w:val="20"/>
              </w:rPr>
              <w:t>研究内容包含但不限于</w:t>
            </w:r>
            <w:r>
              <w:rPr>
                <w:rFonts w:hint="eastAsia" w:asciiTheme="minorEastAsia" w:hAnsiTheme="minorEastAsia" w:eastAsiaTheme="minorEastAsia" w:cstheme="minorEastAsia"/>
                <w:kern w:val="2"/>
                <w:sz w:val="20"/>
                <w:szCs w:val="20"/>
              </w:rPr>
              <w:t>人才培养体系与课程模块设计、虚实结合实训平台建设、产教协同育人机制、数字教材与教学资源开发、师资能力提升及多维评价体系构建，在智能制造、服务机器人等典型场景形成示范应用，探索可复制、可推广的专业建设路径。</w:t>
            </w:r>
          </w:p>
        </w:tc>
      </w:tr>
      <w:tr w14:paraId="1FEE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523" w:type="pct"/>
            <w:tcBorders>
              <w:top w:val="single" w:color="auto" w:sz="4" w:space="0"/>
              <w:left w:val="single" w:color="auto" w:sz="4" w:space="0"/>
              <w:bottom w:val="single" w:color="auto" w:sz="4" w:space="0"/>
              <w:right w:val="single" w:color="auto" w:sz="4" w:space="0"/>
            </w:tcBorders>
            <w:vAlign w:val="center"/>
          </w:tcPr>
          <w:p w14:paraId="72E5D94B">
            <w:pPr>
              <w:widowControl/>
              <w:spacing w:line="320" w:lineRule="exact"/>
              <w:jc w:val="center"/>
              <w:rPr>
                <w:rFonts w:ascii="宋体" w:hAnsi="宋体" w:eastAsia="宋体"/>
                <w:sz w:val="20"/>
                <w:szCs w:val="20"/>
              </w:rPr>
            </w:pPr>
            <w:r>
              <w:rPr>
                <w:rFonts w:hint="eastAsia" w:ascii="宋体" w:hAnsi="宋体" w:eastAsia="宋体"/>
                <w:sz w:val="20"/>
                <w:szCs w:val="20"/>
              </w:rPr>
              <w:t>A08</w:t>
            </w:r>
          </w:p>
        </w:tc>
        <w:tc>
          <w:tcPr>
            <w:tcW w:w="923" w:type="pct"/>
            <w:tcBorders>
              <w:top w:val="single" w:color="auto" w:sz="4" w:space="0"/>
              <w:left w:val="single" w:color="auto" w:sz="4" w:space="0"/>
              <w:bottom w:val="single" w:color="auto" w:sz="4" w:space="0"/>
              <w:right w:val="single" w:color="auto" w:sz="4" w:space="0"/>
            </w:tcBorders>
            <w:noWrap/>
            <w:vAlign w:val="center"/>
          </w:tcPr>
          <w:p w14:paraId="71041CCA">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人才培养多业务场景探索与实践</w:t>
            </w:r>
          </w:p>
        </w:tc>
        <w:tc>
          <w:tcPr>
            <w:tcW w:w="3554" w:type="pct"/>
            <w:tcBorders>
              <w:top w:val="single" w:color="auto" w:sz="4" w:space="0"/>
              <w:left w:val="single" w:color="auto" w:sz="4" w:space="0"/>
              <w:bottom w:val="single" w:color="auto" w:sz="4" w:space="0"/>
              <w:right w:val="single" w:color="auto" w:sz="4" w:space="0"/>
            </w:tcBorders>
            <w:vAlign w:val="center"/>
          </w:tcPr>
          <w:p w14:paraId="2AAEBB4F">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bidi="ar"/>
              </w:rPr>
              <w:t>研究内容包括但不限于</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产学合作人工智能教育创新实验室构建、数字化赋能</w:t>
            </w:r>
            <w:r>
              <w:rPr>
                <w:rFonts w:hint="eastAsia" w:asciiTheme="minorEastAsia" w:hAnsiTheme="minorEastAsia" w:eastAsiaTheme="minorEastAsia" w:cstheme="minorEastAsia"/>
                <w:sz w:val="20"/>
                <w:szCs w:val="20"/>
                <w:lang w:bidi="ar"/>
              </w:rPr>
              <w:t>有组织科研实践创新、</w:t>
            </w:r>
            <w:r>
              <w:rPr>
                <w:rFonts w:hint="eastAsia" w:asciiTheme="minorEastAsia" w:hAnsiTheme="minorEastAsia" w:eastAsiaTheme="minorEastAsia" w:cstheme="minorEastAsia"/>
                <w:color w:val="000000"/>
                <w:kern w:val="0"/>
                <w:sz w:val="20"/>
                <w:szCs w:val="20"/>
                <w:lang w:bidi="ar"/>
              </w:rPr>
              <w:t>学科/专业智能体应用探索实践（新工科、新医科、新农科、新文科等）、</w:t>
            </w:r>
            <w:r>
              <w:rPr>
                <w:rFonts w:hint="eastAsia" w:asciiTheme="minorEastAsia" w:hAnsiTheme="minorEastAsia" w:eastAsiaTheme="minorEastAsia" w:cstheme="minorEastAsia"/>
                <w:sz w:val="20"/>
                <w:szCs w:val="20"/>
                <w:lang w:bidi="ar"/>
              </w:rPr>
              <w:t>AI招生、AI就业、AI论文修改审核、AI思政党建、AI自主学习空间、AI+文体、AI+金融、AI</w:t>
            </w:r>
            <w:r>
              <w:rPr>
                <w:rFonts w:asciiTheme="minorEastAsia" w:hAnsiTheme="minorEastAsia" w:eastAsiaTheme="minorEastAsia" w:cstheme="minorEastAsia"/>
                <w:sz w:val="20"/>
                <w:szCs w:val="20"/>
                <w:lang w:bidi="ar"/>
              </w:rPr>
              <w:t>+</w:t>
            </w:r>
            <w:r>
              <w:rPr>
                <w:rFonts w:hint="eastAsia" w:asciiTheme="minorEastAsia" w:hAnsiTheme="minorEastAsia" w:eastAsiaTheme="minorEastAsia" w:cstheme="minorEastAsia"/>
                <w:sz w:val="20"/>
                <w:szCs w:val="20"/>
                <w:lang w:bidi="ar"/>
              </w:rPr>
              <w:t>人工智能专业实训、AI</w:t>
            </w:r>
            <w:r>
              <w:rPr>
                <w:rFonts w:asciiTheme="minorEastAsia" w:hAnsiTheme="minorEastAsia" w:eastAsiaTheme="minorEastAsia" w:cstheme="minorEastAsia"/>
                <w:sz w:val="20"/>
                <w:szCs w:val="20"/>
                <w:lang w:bidi="ar"/>
              </w:rPr>
              <w:t>+</w:t>
            </w:r>
            <w:r>
              <w:rPr>
                <w:rFonts w:hint="eastAsia" w:asciiTheme="minorEastAsia" w:hAnsiTheme="minorEastAsia" w:eastAsiaTheme="minorEastAsia" w:cstheme="minorEastAsia"/>
                <w:sz w:val="20"/>
                <w:szCs w:val="20"/>
                <w:lang w:bidi="ar"/>
              </w:rPr>
              <w:t>教学质量监测与评价、教师教学档案袋制度落地与研究、教师数字素养与人工智能素养提升研究等场景的典型应用与创新实践。</w:t>
            </w:r>
          </w:p>
        </w:tc>
      </w:tr>
    </w:tbl>
    <w:p w14:paraId="2ACDB0AB">
      <w:pPr>
        <w:spacing w:line="360" w:lineRule="auto"/>
        <w:ind w:firstLine="482" w:firstLineChars="200"/>
        <w:jc w:val="center"/>
        <w:rPr>
          <w:rFonts w:asciiTheme="minorEastAsia" w:hAnsiTheme="minorEastAsia" w:eastAsiaTheme="minorEastAsia" w:cstheme="minorEastAsia"/>
          <w:b/>
          <w:bCs/>
          <w:sz w:val="24"/>
          <w:szCs w:val="24"/>
        </w:rPr>
      </w:pPr>
    </w:p>
    <w:p w14:paraId="1ED19BFA">
      <w:pPr>
        <w:spacing w:line="360" w:lineRule="auto"/>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表二 “职业教育数字创新（面向高职）”选题列表</w:t>
      </w:r>
    </w:p>
    <w:tbl>
      <w:tblPr>
        <w:tblStyle w:val="8"/>
        <w:tblW w:w="5149"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732"/>
        <w:gridCol w:w="6449"/>
      </w:tblGrid>
      <w:tr w14:paraId="52B8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60" w:type="pct"/>
            <w:tcBorders>
              <w:top w:val="single" w:color="auto" w:sz="4" w:space="0"/>
              <w:left w:val="single" w:color="auto" w:sz="4" w:space="0"/>
              <w:bottom w:val="single" w:color="auto" w:sz="4" w:space="0"/>
              <w:right w:val="single" w:color="auto" w:sz="4" w:space="0"/>
            </w:tcBorders>
            <w:shd w:val="clear" w:color="auto" w:fill="BFBFBF"/>
            <w:vAlign w:val="center"/>
          </w:tcPr>
          <w:p w14:paraId="4E5BCE55">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课题方向编号</w:t>
            </w:r>
          </w:p>
        </w:tc>
        <w:tc>
          <w:tcPr>
            <w:tcW w:w="940" w:type="pct"/>
            <w:tcBorders>
              <w:top w:val="single" w:color="auto" w:sz="4" w:space="0"/>
              <w:left w:val="single" w:color="auto" w:sz="4" w:space="0"/>
              <w:bottom w:val="single" w:color="auto" w:sz="4" w:space="0"/>
              <w:right w:val="single" w:color="auto" w:sz="4" w:space="0"/>
            </w:tcBorders>
            <w:shd w:val="clear" w:color="auto" w:fill="BFBFBF"/>
            <w:noWrap/>
            <w:vAlign w:val="center"/>
          </w:tcPr>
          <w:p w14:paraId="01C32598">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课题方向</w:t>
            </w:r>
          </w:p>
        </w:tc>
        <w:tc>
          <w:tcPr>
            <w:tcW w:w="3500" w:type="pct"/>
            <w:tcBorders>
              <w:top w:val="single" w:color="auto" w:sz="4" w:space="0"/>
              <w:left w:val="single" w:color="auto" w:sz="4" w:space="0"/>
              <w:bottom w:val="single" w:color="auto" w:sz="4" w:space="0"/>
              <w:right w:val="single" w:color="auto" w:sz="4" w:space="0"/>
            </w:tcBorders>
            <w:shd w:val="clear" w:color="auto" w:fill="BFBFBF"/>
            <w:vAlign w:val="center"/>
          </w:tcPr>
          <w:p w14:paraId="2ABDFEC3">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课题研究内容</w:t>
            </w:r>
          </w:p>
        </w:tc>
      </w:tr>
      <w:tr w14:paraId="2FBA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560" w:type="pct"/>
            <w:tcBorders>
              <w:top w:val="single" w:color="auto" w:sz="4" w:space="0"/>
              <w:left w:val="single" w:color="auto" w:sz="4" w:space="0"/>
              <w:bottom w:val="single" w:color="auto" w:sz="4" w:space="0"/>
              <w:right w:val="single" w:color="auto" w:sz="4" w:space="0"/>
            </w:tcBorders>
            <w:vAlign w:val="center"/>
          </w:tcPr>
          <w:p w14:paraId="5C3ACA1B">
            <w:pPr>
              <w:spacing w:line="320" w:lineRule="exact"/>
              <w:jc w:val="center"/>
              <w:rPr>
                <w:rFonts w:ascii="宋体" w:hAnsi="宋体" w:eastAsia="宋体"/>
                <w:sz w:val="20"/>
                <w:szCs w:val="20"/>
              </w:rPr>
            </w:pPr>
            <w:r>
              <w:rPr>
                <w:rFonts w:hint="eastAsia" w:ascii="宋体" w:hAnsi="宋体" w:eastAsia="宋体"/>
                <w:sz w:val="20"/>
                <w:szCs w:val="20"/>
              </w:rPr>
              <w:t>B01</w:t>
            </w:r>
          </w:p>
        </w:tc>
        <w:tc>
          <w:tcPr>
            <w:tcW w:w="940" w:type="pct"/>
            <w:tcBorders>
              <w:top w:val="single" w:color="auto" w:sz="4" w:space="0"/>
              <w:left w:val="single" w:color="auto" w:sz="4" w:space="0"/>
              <w:bottom w:val="single" w:color="auto" w:sz="4" w:space="0"/>
              <w:right w:val="single" w:color="auto" w:sz="4" w:space="0"/>
            </w:tcBorders>
            <w:noWrap/>
            <w:vAlign w:val="center"/>
          </w:tcPr>
          <w:p w14:paraId="47809FEB">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宋体" w:hAnsi="宋体" w:eastAsia="宋体"/>
                <w:iCs/>
                <w:sz w:val="20"/>
                <w:szCs w:val="20"/>
              </w:rPr>
              <w:t>新双高背景下的数字赋能职业教育</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金专业、金课程、金教师、金教材、金基地</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iCs/>
                <w:sz w:val="20"/>
                <w:szCs w:val="20"/>
              </w:rPr>
              <w:t>建设研究与创新实践</w:t>
            </w:r>
          </w:p>
        </w:tc>
        <w:tc>
          <w:tcPr>
            <w:tcW w:w="3500" w:type="pct"/>
            <w:tcBorders>
              <w:top w:val="single" w:color="auto" w:sz="4" w:space="0"/>
              <w:left w:val="single" w:color="auto" w:sz="4" w:space="0"/>
              <w:bottom w:val="single" w:color="auto" w:sz="4" w:space="0"/>
              <w:right w:val="single" w:color="auto" w:sz="4" w:space="0"/>
            </w:tcBorders>
            <w:vAlign w:val="center"/>
          </w:tcPr>
          <w:p w14:paraId="1457929E">
            <w:pPr>
              <w:widowControl/>
              <w:spacing w:line="320" w:lineRule="exact"/>
              <w:ind w:firstLine="400"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面向新双高背景下的职业教育</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金专业、金课程、金教师、金教材、金基地</w:t>
            </w:r>
            <w:r>
              <w:rPr>
                <w:rFonts w:ascii="宋体" w:hAnsi="宋体" w:eastAsia="宋体"/>
                <w:color w:val="000000" w:themeColor="text1"/>
                <w:sz w:val="20"/>
                <w:szCs w:val="20"/>
                <w14:textFill>
                  <w14:solidFill>
                    <w14:schemeClr w14:val="tx1"/>
                  </w14:solidFill>
                </w14:textFill>
              </w:rPr>
              <w:t>”建设</w:t>
            </w:r>
            <w:r>
              <w:rPr>
                <w:rFonts w:hint="eastAsia" w:ascii="宋体" w:hAnsi="宋体" w:eastAsia="宋体"/>
                <w:color w:val="000000" w:themeColor="text1"/>
                <w:sz w:val="20"/>
                <w:szCs w:val="20"/>
                <w14:textFill>
                  <w14:solidFill>
                    <w14:schemeClr w14:val="tx1"/>
                  </w14:solidFill>
                </w14:textFill>
              </w:rPr>
              <w:t>任务</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结合</w:t>
            </w:r>
            <w:r>
              <w:rPr>
                <w:rFonts w:ascii="宋体" w:hAnsi="宋体" w:eastAsia="宋体"/>
                <w:color w:val="000000" w:themeColor="text1"/>
                <w:sz w:val="20"/>
                <w:szCs w:val="20"/>
                <w14:textFill>
                  <w14:solidFill>
                    <w14:schemeClr w14:val="tx1"/>
                  </w14:solidFill>
                </w14:textFill>
              </w:rPr>
              <w:t>人工智能</w:t>
            </w:r>
            <w:r>
              <w:rPr>
                <w:rFonts w:hint="eastAsia" w:ascii="宋体" w:hAnsi="宋体" w:eastAsia="宋体"/>
                <w:color w:val="000000" w:themeColor="text1"/>
                <w:sz w:val="20"/>
                <w:szCs w:val="20"/>
                <w14:textFill>
                  <w14:solidFill>
                    <w14:schemeClr w14:val="tx1"/>
                  </w14:solidFill>
                </w14:textFill>
              </w:rPr>
              <w:t>等数字技术，进行</w:t>
            </w:r>
            <w:r>
              <w:rPr>
                <w:rFonts w:ascii="宋体" w:hAnsi="宋体" w:eastAsia="宋体"/>
                <w:color w:val="000000" w:themeColor="text1"/>
                <w:sz w:val="20"/>
                <w:szCs w:val="20"/>
                <w14:textFill>
                  <w14:solidFill>
                    <w14:schemeClr w14:val="tx1"/>
                  </w14:solidFill>
                </w14:textFill>
              </w:rPr>
              <w:t>示范性应用</w:t>
            </w:r>
            <w:r>
              <w:rPr>
                <w:rFonts w:hint="eastAsia" w:ascii="宋体" w:hAnsi="宋体" w:eastAsia="宋体"/>
                <w:color w:val="000000" w:themeColor="text1"/>
                <w:sz w:val="20"/>
                <w:szCs w:val="20"/>
                <w14:textFill>
                  <w14:solidFill>
                    <w14:schemeClr w14:val="tx1"/>
                  </w14:solidFill>
                </w14:textFill>
              </w:rPr>
              <w:t>与</w:t>
            </w:r>
            <w:r>
              <w:rPr>
                <w:rFonts w:ascii="宋体" w:hAnsi="宋体" w:eastAsia="宋体"/>
                <w:color w:val="000000" w:themeColor="text1"/>
                <w:sz w:val="20"/>
                <w:szCs w:val="20"/>
                <w14:textFill>
                  <w14:solidFill>
                    <w14:schemeClr w14:val="tx1"/>
                  </w14:solidFill>
                </w14:textFill>
              </w:rPr>
              <w:t>创新实践。</w:t>
            </w:r>
            <w:r>
              <w:rPr>
                <w:rFonts w:hint="eastAsia" w:ascii="宋体" w:hAnsi="宋体" w:eastAsia="宋体"/>
                <w:color w:val="000000" w:themeColor="text1"/>
                <w:sz w:val="20"/>
                <w:szCs w:val="20"/>
                <w14:textFill>
                  <w14:solidFill>
                    <w14:schemeClr w14:val="tx1"/>
                  </w14:solidFill>
                </w14:textFill>
              </w:rPr>
              <w:t>基于本校和研究者自身</w:t>
            </w:r>
            <w:r>
              <w:rPr>
                <w:rFonts w:ascii="宋体" w:hAnsi="宋体" w:eastAsia="宋体"/>
                <w:color w:val="000000" w:themeColor="text1"/>
                <w:sz w:val="20"/>
                <w:szCs w:val="20"/>
                <w14:textFill>
                  <w14:solidFill>
                    <w14:schemeClr w14:val="tx1"/>
                  </w14:solidFill>
                </w14:textFill>
              </w:rPr>
              <w:t>实际</w:t>
            </w:r>
            <w:r>
              <w:rPr>
                <w:rFonts w:hint="eastAsia" w:ascii="宋体" w:hAnsi="宋体" w:eastAsia="宋体"/>
                <w:color w:val="000000" w:themeColor="text1"/>
                <w:sz w:val="20"/>
                <w:szCs w:val="20"/>
                <w14:textFill>
                  <w14:solidFill>
                    <w14:schemeClr w14:val="tx1"/>
                  </w14:solidFill>
                </w14:textFill>
              </w:rPr>
              <w:t>情</w:t>
            </w:r>
            <w:r>
              <w:rPr>
                <w:rFonts w:ascii="宋体" w:hAnsi="宋体" w:eastAsia="宋体"/>
                <w:color w:val="000000" w:themeColor="text1"/>
                <w:sz w:val="20"/>
                <w:szCs w:val="20"/>
                <w14:textFill>
                  <w14:solidFill>
                    <w14:schemeClr w14:val="tx1"/>
                  </w14:solidFill>
                </w14:textFill>
              </w:rPr>
              <w:t>况，选择</w:t>
            </w:r>
            <w:r>
              <w:rPr>
                <w:rFonts w:hint="eastAsia" w:ascii="宋体" w:hAnsi="宋体" w:eastAsia="宋体"/>
                <w:color w:val="000000" w:themeColor="text1"/>
                <w:sz w:val="20"/>
                <w:szCs w:val="20"/>
                <w14:textFill>
                  <w14:solidFill>
                    <w14:schemeClr w14:val="tx1"/>
                  </w14:solidFill>
                </w14:textFill>
              </w:rPr>
              <w:t>数字赋能“金专业、金课程、金教师、金教材、金基地”</w:t>
            </w:r>
            <w:r>
              <w:rPr>
                <w:rFonts w:ascii="宋体" w:hAnsi="宋体" w:eastAsia="宋体"/>
                <w:color w:val="000000" w:themeColor="text1"/>
                <w:sz w:val="20"/>
                <w:szCs w:val="20"/>
                <w14:textFill>
                  <w14:solidFill>
                    <w14:schemeClr w14:val="tx1"/>
                  </w14:solidFill>
                </w14:textFill>
              </w:rPr>
              <w:t>的一个或多个方向进行深入研究</w:t>
            </w:r>
            <w:r>
              <w:rPr>
                <w:rFonts w:hint="eastAsia" w:ascii="宋体" w:hAnsi="宋体" w:eastAsia="宋体"/>
                <w:color w:val="000000" w:themeColor="text1"/>
                <w:sz w:val="20"/>
                <w:szCs w:val="20"/>
                <w14:textFill>
                  <w14:solidFill>
                    <w14:schemeClr w14:val="tx1"/>
                  </w14:solidFill>
                </w14:textFill>
              </w:rPr>
              <w:t>与创新实践。</w:t>
            </w:r>
          </w:p>
        </w:tc>
      </w:tr>
      <w:tr w14:paraId="2002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560" w:type="pct"/>
            <w:tcBorders>
              <w:top w:val="single" w:color="auto" w:sz="4" w:space="0"/>
              <w:left w:val="single" w:color="auto" w:sz="4" w:space="0"/>
              <w:bottom w:val="single" w:color="auto" w:sz="4" w:space="0"/>
              <w:right w:val="single" w:color="auto" w:sz="4" w:space="0"/>
            </w:tcBorders>
            <w:vAlign w:val="center"/>
          </w:tcPr>
          <w:p w14:paraId="53653FA6">
            <w:pPr>
              <w:spacing w:line="320" w:lineRule="exact"/>
              <w:jc w:val="center"/>
              <w:rPr>
                <w:rFonts w:ascii="宋体" w:hAnsi="宋体" w:eastAsia="宋体"/>
                <w:sz w:val="20"/>
                <w:szCs w:val="20"/>
              </w:rPr>
            </w:pPr>
            <w:r>
              <w:rPr>
                <w:rFonts w:hint="eastAsia" w:ascii="宋体" w:hAnsi="宋体" w:eastAsia="宋体"/>
                <w:sz w:val="20"/>
                <w:szCs w:val="20"/>
              </w:rPr>
              <w:t>B02</w:t>
            </w:r>
          </w:p>
        </w:tc>
        <w:tc>
          <w:tcPr>
            <w:tcW w:w="940" w:type="pct"/>
            <w:tcBorders>
              <w:top w:val="single" w:color="auto" w:sz="4" w:space="0"/>
              <w:left w:val="single" w:color="auto" w:sz="4" w:space="0"/>
              <w:bottom w:val="single" w:color="auto" w:sz="4" w:space="0"/>
              <w:right w:val="single" w:color="auto" w:sz="4" w:space="0"/>
            </w:tcBorders>
            <w:noWrap/>
            <w:vAlign w:val="center"/>
          </w:tcPr>
          <w:p w14:paraId="768BB50F">
            <w:pPr>
              <w:widowControl/>
              <w:spacing w:line="320" w:lineRule="exact"/>
              <w:rPr>
                <w:rFonts w:ascii="宋体" w:hAnsi="宋体" w:eastAsia="宋体"/>
                <w:iCs/>
                <w:sz w:val="20"/>
                <w:szCs w:val="20"/>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 xml:space="preserve">职业教育 </w:t>
            </w: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AI Skills</w:t>
            </w:r>
            <w:r>
              <w:rPr>
                <w:rFonts w:asciiTheme="minorEastAsia" w:hAnsiTheme="minorEastAsia" w:eastAsiaTheme="minorEastAsia" w:cstheme="minorEastAsia"/>
                <w:color w:val="000000" w:themeColor="text1"/>
                <w:sz w:val="20"/>
                <w:szCs w:val="20"/>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创新创作研究与实践</w:t>
            </w:r>
          </w:p>
        </w:tc>
        <w:tc>
          <w:tcPr>
            <w:tcW w:w="3500" w:type="pct"/>
            <w:tcBorders>
              <w:top w:val="single" w:color="auto" w:sz="4" w:space="0"/>
              <w:left w:val="single" w:color="auto" w:sz="4" w:space="0"/>
              <w:bottom w:val="single" w:color="auto" w:sz="4" w:space="0"/>
              <w:right w:val="single" w:color="auto" w:sz="4" w:space="0"/>
            </w:tcBorders>
            <w:vAlign w:val="center"/>
          </w:tcPr>
          <w:p w14:paraId="553D4231">
            <w:pPr>
              <w:widowControl/>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紧扣岗课赛证融通、产教融合、实训实操、技能成才</w:t>
            </w:r>
            <w:r>
              <w:rPr>
                <w:rFonts w:ascii="宋体" w:hAnsi="宋体" w:eastAsia="宋体"/>
                <w:color w:val="000000" w:themeColor="text1"/>
                <w:sz w:val="20"/>
                <w:szCs w:val="20"/>
                <w14:textFill>
                  <w14:solidFill>
                    <w14:schemeClr w14:val="tx1"/>
                  </w14:solidFill>
                </w14:textFill>
              </w:rPr>
              <w:t>核心，对标高职场景</w:t>
            </w:r>
            <w:r>
              <w:rPr>
                <w:rFonts w:hint="eastAsia" w:ascii="宋体" w:hAnsi="宋体" w:eastAsia="宋体"/>
                <w:color w:val="000000" w:themeColor="text1"/>
                <w:sz w:val="20"/>
                <w:szCs w:val="20"/>
                <w14:textFill>
                  <w14:solidFill>
                    <w14:schemeClr w14:val="tx1"/>
                  </w14:solidFill>
                </w14:textFill>
              </w:rPr>
              <w:t>，研究内容包括但不限于基础理论与标准体系研究、技术开发与平台建设研究、教学改革与课堂创新研究、实训实操与技能训练研究、产教融合与校企协同研究、科研服务与技术创新研究、双创与实践能力培养研究、管理服务与治理数字化研究、伦理安全与风险治理研究、评价认证与推广落地研究等AI Skills</w:t>
            </w:r>
            <w:r>
              <w:rPr>
                <w:rFonts w:ascii="宋体" w:hAnsi="宋体" w:eastAsia="宋体"/>
                <w:color w:val="000000" w:themeColor="text1"/>
                <w:sz w:val="20"/>
                <w:szCs w:val="20"/>
                <w14:textFill>
                  <w14:solidFill>
                    <w14:schemeClr w14:val="tx1"/>
                  </w14:solidFill>
                </w14:textFill>
              </w:rPr>
              <w:t xml:space="preserve"> </w:t>
            </w:r>
            <w:r>
              <w:rPr>
                <w:rFonts w:hint="eastAsia" w:ascii="宋体" w:hAnsi="宋体" w:eastAsia="宋体"/>
                <w:color w:val="000000" w:themeColor="text1"/>
                <w:sz w:val="20"/>
                <w:szCs w:val="20"/>
                <w14:textFill>
                  <w14:solidFill>
                    <w14:schemeClr w14:val="tx1"/>
                  </w14:solidFill>
                </w14:textFill>
              </w:rPr>
              <w:t>创新创作方向。</w:t>
            </w:r>
          </w:p>
          <w:p w14:paraId="37339A06">
            <w:pPr>
              <w:widowControl/>
              <w:spacing w:line="320" w:lineRule="exact"/>
              <w:ind w:firstLine="402" w:firstLineChars="200"/>
              <w:rPr>
                <w:rFonts w:ascii="宋体" w:hAnsi="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详情见本指南附录《高等教育、职业教育AI Skills 创新创作研究与实践方向指引》</w:t>
            </w:r>
          </w:p>
        </w:tc>
      </w:tr>
      <w:tr w14:paraId="3DAB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4108DE6B">
            <w:pPr>
              <w:spacing w:line="320" w:lineRule="exact"/>
              <w:jc w:val="center"/>
              <w:rPr>
                <w:rFonts w:ascii="宋体" w:hAnsi="宋体" w:eastAsia="宋体"/>
                <w:sz w:val="20"/>
                <w:szCs w:val="20"/>
              </w:rPr>
            </w:pPr>
            <w:r>
              <w:rPr>
                <w:rFonts w:hint="eastAsia" w:ascii="宋体" w:hAnsi="宋体" w:eastAsia="宋体"/>
                <w:sz w:val="20"/>
                <w:szCs w:val="20"/>
              </w:rPr>
              <w:t>B03</w:t>
            </w:r>
          </w:p>
        </w:tc>
        <w:tc>
          <w:tcPr>
            <w:tcW w:w="940" w:type="pct"/>
            <w:tcBorders>
              <w:top w:val="single" w:color="auto" w:sz="4" w:space="0"/>
              <w:left w:val="single" w:color="auto" w:sz="4" w:space="0"/>
              <w:bottom w:val="single" w:color="auto" w:sz="4" w:space="0"/>
              <w:right w:val="single" w:color="auto" w:sz="4" w:space="0"/>
            </w:tcBorders>
            <w:noWrap/>
            <w:vAlign w:val="center"/>
          </w:tcPr>
          <w:p w14:paraId="08B58BFF">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AI赋能职业教育领域教育教学研究与实践</w:t>
            </w:r>
          </w:p>
        </w:tc>
        <w:tc>
          <w:tcPr>
            <w:tcW w:w="3500" w:type="pct"/>
            <w:tcBorders>
              <w:top w:val="single" w:color="auto" w:sz="4" w:space="0"/>
              <w:left w:val="single" w:color="auto" w:sz="4" w:space="0"/>
              <w:bottom w:val="single" w:color="auto" w:sz="4" w:space="0"/>
              <w:right w:val="single" w:color="auto" w:sz="4" w:space="0"/>
            </w:tcBorders>
            <w:vAlign w:val="center"/>
          </w:tcPr>
          <w:p w14:paraId="63F12C29">
            <w:pPr>
              <w:widowControl/>
              <w:spacing w:line="320" w:lineRule="exact"/>
              <w:ind w:firstLine="402" w:firstLineChars="200"/>
              <w:rPr>
                <w:rFonts w:asciiTheme="minorEastAsia" w:hAnsiTheme="minorEastAsia" w:eastAsiaTheme="minorEastAsia" w:cstheme="minorEastAsia"/>
                <w:b/>
                <w:bCs/>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研究内容包括但不限于如下方向：</w:t>
            </w:r>
          </w:p>
          <w:p w14:paraId="155F5065">
            <w:pPr>
              <w:widowControl/>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lang w:bidi="ar"/>
                <w14:textFill>
                  <w14:solidFill>
                    <w14:schemeClr w14:val="tx1"/>
                  </w14:solidFill>
                </w14:textFill>
              </w:rPr>
              <w:t>职业教育领域垂直大模型应用落地研究：依托本校特色专业群与产教融合优势，锚定国家</w:t>
            </w:r>
            <w:r>
              <w:rPr>
                <w:rFonts w:hint="eastAsia" w:ascii="宋体" w:hAnsi="宋体" w:eastAsia="宋体"/>
                <w:color w:val="000000" w:themeColor="text1"/>
                <w:sz w:val="20"/>
                <w:szCs w:val="20"/>
                <w:lang w:bidi="ar"/>
                <w14:textFill>
                  <w14:solidFill>
                    <w14:schemeClr w14:val="tx1"/>
                  </w14:solidFill>
                </w14:textFill>
              </w:rPr>
              <w:t>或</w:t>
            </w:r>
            <w:r>
              <w:rPr>
                <w:rFonts w:ascii="宋体" w:hAnsi="宋体" w:eastAsia="宋体"/>
                <w:color w:val="000000" w:themeColor="text1"/>
                <w:sz w:val="20"/>
                <w:szCs w:val="20"/>
                <w:lang w:bidi="ar"/>
                <w14:textFill>
                  <w14:solidFill>
                    <w14:schemeClr w14:val="tx1"/>
                  </w14:solidFill>
                </w14:textFill>
              </w:rPr>
              <w:t>区域战略布局、重点产业发展需求与地方经济社会发展方向，开展</w:t>
            </w:r>
            <w:r>
              <w:rPr>
                <w:rFonts w:hint="eastAsia" w:ascii="宋体" w:hAnsi="宋体" w:eastAsia="宋体"/>
                <w:color w:val="000000" w:themeColor="text1"/>
                <w:sz w:val="20"/>
                <w:szCs w:val="20"/>
                <w:lang w:bidi="ar"/>
                <w14:textFill>
                  <w14:solidFill>
                    <w14:schemeClr w14:val="tx1"/>
                  </w14:solidFill>
                </w14:textFill>
              </w:rPr>
              <w:t>职业教育领域</w:t>
            </w:r>
            <w:r>
              <w:rPr>
                <w:rFonts w:ascii="宋体" w:hAnsi="宋体" w:eastAsia="宋体"/>
                <w:color w:val="000000" w:themeColor="text1"/>
                <w:sz w:val="20"/>
                <w:szCs w:val="20"/>
                <w:lang w:bidi="ar"/>
                <w14:textFill>
                  <w14:solidFill>
                    <w14:schemeClr w14:val="tx1"/>
                  </w14:solidFill>
                </w14:textFill>
              </w:rPr>
              <w:t>垂直大模型示范应用与创新实践研究，赋能人才培养质量提升与社会服务能力升级。</w:t>
            </w:r>
          </w:p>
          <w:p w14:paraId="72EB4D5F">
            <w:pPr>
              <w:widowControl/>
              <w:spacing w:line="320" w:lineRule="exact"/>
              <w:ind w:firstLine="402"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职业院校人工智能典型应用研究与实践：</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智能时代的职业院校教育教学改革、人工智能技术与职业教育教学深度融合创新、具备人工智能素养及职业能力的技术技能人才培养创新与实践、A</w:t>
            </w:r>
            <w:r>
              <w:rPr>
                <w:rFonts w:asciiTheme="minorEastAsia" w:hAnsiTheme="minorEastAsia" w:eastAsiaTheme="minorEastAsia" w:cstheme="minorEastAsia"/>
                <w:color w:val="000000" w:themeColor="text1"/>
                <w:sz w:val="20"/>
                <w:szCs w:val="20"/>
                <w:lang w:bidi="ar"/>
                <w14:textFill>
                  <w14:solidFill>
                    <w14:schemeClr w14:val="tx1"/>
                  </w14:solidFill>
                </w14:textFill>
              </w:rPr>
              <w:t>I</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与学科或专业交叉融合、职业教育人工智能领域优势学科和品牌专业集群建设研究与实践等。</w:t>
            </w:r>
          </w:p>
          <w:p w14:paraId="0BC5AB54">
            <w:pPr>
              <w:widowControl/>
              <w:spacing w:line="320" w:lineRule="exact"/>
              <w:ind w:firstLine="402"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职业院校人工智能通识教育研究：</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职业院校的课程建设研究、常态课程体系完善、实践活动体系构建、多元评价体系建立、师资队伍建设等。</w:t>
            </w:r>
          </w:p>
          <w:p w14:paraId="4AF37AC3">
            <w:pPr>
              <w:widowControl/>
              <w:spacing w:line="320" w:lineRule="exact"/>
              <w:ind w:firstLine="402"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智能体或智能体协同在职业教育领域的典型应用探索与实践：</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个性化教学、高仿真实训、产教融合、教务管理、终身技能培训、特定行业（如新一代信息技术、新能源、新材料、低空经济、具身智能、智能制造、智慧商贸、智慧康养、数字文旅）的智能体或智能体协同的典型应用探索与实践。</w:t>
            </w:r>
          </w:p>
        </w:tc>
      </w:tr>
      <w:tr w14:paraId="7A92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471BEA2A">
            <w:pPr>
              <w:widowControl/>
              <w:spacing w:line="320" w:lineRule="exact"/>
              <w:jc w:val="center"/>
              <w:rPr>
                <w:rFonts w:eastAsia="宋体" w:asciiTheme="minorEastAsia" w:hAnsiTheme="minorEastAsia" w:cstheme="minorEastAsia"/>
                <w:color w:val="000000" w:themeColor="text1"/>
                <w:sz w:val="20"/>
                <w:szCs w:val="20"/>
                <w:lang w:bidi="ar"/>
                <w14:textFill>
                  <w14:solidFill>
                    <w14:schemeClr w14:val="tx1"/>
                  </w14:solidFill>
                </w14:textFill>
              </w:rPr>
            </w:pPr>
            <w:r>
              <w:rPr>
                <w:rFonts w:hint="eastAsia" w:ascii="宋体" w:hAnsi="宋体" w:eastAsia="宋体"/>
                <w:sz w:val="20"/>
                <w:szCs w:val="20"/>
              </w:rPr>
              <w:t>B04</w:t>
            </w:r>
          </w:p>
        </w:tc>
        <w:tc>
          <w:tcPr>
            <w:tcW w:w="940" w:type="pct"/>
            <w:tcBorders>
              <w:top w:val="single" w:color="auto" w:sz="4" w:space="0"/>
              <w:left w:val="single" w:color="auto" w:sz="4" w:space="0"/>
              <w:bottom w:val="single" w:color="auto" w:sz="4" w:space="0"/>
              <w:right w:val="single" w:color="auto" w:sz="4" w:space="0"/>
            </w:tcBorders>
            <w:noWrap/>
            <w:vAlign w:val="center"/>
          </w:tcPr>
          <w:p w14:paraId="50C850C0">
            <w:pPr>
              <w:widowControl/>
              <w:spacing w:line="320" w:lineRule="exact"/>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数据行业职业教育创新研究</w:t>
            </w:r>
          </w:p>
        </w:tc>
        <w:tc>
          <w:tcPr>
            <w:tcW w:w="3500" w:type="pct"/>
            <w:tcBorders>
              <w:top w:val="single" w:color="auto" w:sz="4" w:space="0"/>
              <w:left w:val="single" w:color="auto" w:sz="4" w:space="0"/>
              <w:bottom w:val="single" w:color="auto" w:sz="4" w:space="0"/>
              <w:right w:val="single" w:color="auto" w:sz="4" w:space="0"/>
            </w:tcBorders>
            <w:vAlign w:val="center"/>
          </w:tcPr>
          <w:p w14:paraId="7046D212">
            <w:pPr>
              <w:widowControl/>
              <w:spacing w:line="320" w:lineRule="exact"/>
              <w:ind w:firstLine="400" w:firstLineChars="200"/>
              <w:rPr>
                <w:rFonts w:asciiTheme="minorEastAsia" w:hAnsiTheme="minorEastAsia" w:eastAsiaTheme="minorEastAsia" w:cstheme="minorEastAsia"/>
                <w:color w:val="000000" w:themeColor="text1"/>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研究内容包括但不限于数据行业职业教育体制机制研究、数据行业产教融合生态研究与创新、数据行业跨区域产教融合共同体建设、数据要素从业人员能力要求研究等</w:t>
            </w:r>
          </w:p>
        </w:tc>
      </w:tr>
      <w:tr w14:paraId="58AC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0668E799">
            <w:pPr>
              <w:widowControl/>
              <w:spacing w:line="320" w:lineRule="exact"/>
              <w:jc w:val="center"/>
              <w:rPr>
                <w:rFonts w:ascii="宋体" w:hAnsi="宋体" w:eastAsia="宋体"/>
                <w:sz w:val="20"/>
                <w:szCs w:val="20"/>
              </w:rPr>
            </w:pPr>
            <w:r>
              <w:rPr>
                <w:rFonts w:hint="eastAsia" w:ascii="宋体" w:hAnsi="宋体" w:eastAsia="宋体"/>
                <w:sz w:val="20"/>
                <w:szCs w:val="20"/>
              </w:rPr>
              <w:t>B05</w:t>
            </w:r>
          </w:p>
        </w:tc>
        <w:tc>
          <w:tcPr>
            <w:tcW w:w="940" w:type="pct"/>
            <w:tcBorders>
              <w:top w:val="single" w:color="auto" w:sz="4" w:space="0"/>
              <w:left w:val="single" w:color="auto" w:sz="4" w:space="0"/>
              <w:bottom w:val="single" w:color="auto" w:sz="4" w:space="0"/>
              <w:right w:val="single" w:color="auto" w:sz="4" w:space="0"/>
            </w:tcBorders>
            <w:noWrap/>
            <w:vAlign w:val="center"/>
          </w:tcPr>
          <w:p w14:paraId="3A099032">
            <w:pPr>
              <w:widowControl/>
              <w:spacing w:line="320" w:lineRule="exact"/>
              <w:rPr>
                <w:rFonts w:ascii="宋体" w:hAnsi="宋体" w:eastAsia="宋体"/>
                <w:iCs/>
                <w:sz w:val="20"/>
                <w:szCs w:val="20"/>
              </w:rPr>
            </w:pPr>
            <w:r>
              <w:rPr>
                <w:rFonts w:hint="eastAsia" w:ascii="宋体" w:hAnsi="宋体" w:eastAsia="宋体"/>
                <w:iCs/>
                <w:sz w:val="20"/>
                <w:szCs w:val="20"/>
              </w:rPr>
              <w:t>职业教育教师数字素养与人工智能素养提升的研究与实践</w:t>
            </w:r>
          </w:p>
        </w:tc>
        <w:tc>
          <w:tcPr>
            <w:tcW w:w="3500" w:type="pct"/>
            <w:tcBorders>
              <w:top w:val="single" w:color="auto" w:sz="4" w:space="0"/>
              <w:left w:val="single" w:color="auto" w:sz="4" w:space="0"/>
              <w:bottom w:val="single" w:color="auto" w:sz="4" w:space="0"/>
              <w:right w:val="single" w:color="auto" w:sz="4" w:space="0"/>
            </w:tcBorders>
            <w:vAlign w:val="center"/>
          </w:tcPr>
          <w:p w14:paraId="4BBB8059">
            <w:pPr>
              <w:widowControl/>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《教师数字素养》（JY/T 0646-2022）标准的发布，旨在全面提升教师在数字化时代背景下的综合能力，让教师能够有效利用数字技术优化、创新和变革教育教学活动。职业院校应该采取哪些有效落地的措施与方法，来提升教师的整体数字素养？</w:t>
            </w:r>
          </w:p>
          <w:p w14:paraId="2B9B0FEC">
            <w:pPr>
              <w:widowControl/>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近年来人工智能技术飞速发展，尤其是生成式人工智能席卷全球，教育领域迎来前所未有的变革与机遇背景下，职业院校教师的人工智能素养该如何提升？</w:t>
            </w:r>
          </w:p>
          <w:p w14:paraId="45CE36B4">
            <w:pPr>
              <w:widowControl/>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根据本校和研究者自身</w:t>
            </w:r>
            <w:r>
              <w:rPr>
                <w:rFonts w:ascii="宋体" w:hAnsi="宋体" w:eastAsia="宋体"/>
                <w:color w:val="000000" w:themeColor="text1"/>
                <w:sz w:val="20"/>
                <w:szCs w:val="20"/>
                <w14:textFill>
                  <w14:solidFill>
                    <w14:schemeClr w14:val="tx1"/>
                  </w14:solidFill>
                </w14:textFill>
              </w:rPr>
              <w:t>实际状况</w:t>
            </w:r>
            <w:r>
              <w:rPr>
                <w:rFonts w:hint="eastAsia" w:ascii="宋体" w:hAnsi="宋体" w:eastAsia="宋体"/>
                <w:color w:val="000000" w:themeColor="text1"/>
                <w:sz w:val="20"/>
                <w:szCs w:val="20"/>
                <w14:textFill>
                  <w14:solidFill>
                    <w14:schemeClr w14:val="tx1"/>
                  </w14:solidFill>
                </w14:textFill>
              </w:rPr>
              <w:t>，可以选择“教师数字素养提升”的研究与应用，或者选择“教师人工智能素养提升”研究与应用，亦或是综合考虑两者，选择“教师数字与人工智能素养提升”研究与应用。</w:t>
            </w:r>
          </w:p>
        </w:tc>
      </w:tr>
      <w:tr w14:paraId="41F1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29B1DB94">
            <w:pPr>
              <w:widowControl/>
              <w:spacing w:line="320" w:lineRule="exact"/>
              <w:jc w:val="center"/>
              <w:rPr>
                <w:rFonts w:ascii="宋体" w:hAnsi="宋体" w:eastAsia="宋体"/>
                <w:sz w:val="20"/>
                <w:szCs w:val="20"/>
              </w:rPr>
            </w:pPr>
            <w:r>
              <w:rPr>
                <w:rFonts w:hint="eastAsia" w:ascii="宋体" w:hAnsi="宋体" w:eastAsia="宋体"/>
                <w:sz w:val="20"/>
                <w:szCs w:val="20"/>
              </w:rPr>
              <w:t>B06</w:t>
            </w:r>
          </w:p>
        </w:tc>
        <w:tc>
          <w:tcPr>
            <w:tcW w:w="940" w:type="pct"/>
            <w:tcBorders>
              <w:top w:val="single" w:color="auto" w:sz="4" w:space="0"/>
              <w:left w:val="single" w:color="auto" w:sz="4" w:space="0"/>
              <w:bottom w:val="single" w:color="auto" w:sz="4" w:space="0"/>
              <w:right w:val="single" w:color="auto" w:sz="4" w:space="0"/>
            </w:tcBorders>
            <w:noWrap/>
            <w:vAlign w:val="center"/>
          </w:tcPr>
          <w:p w14:paraId="78AA6F0A">
            <w:pPr>
              <w:widowControl/>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职业教育具身智能教育与实训研究与实践</w:t>
            </w:r>
          </w:p>
        </w:tc>
        <w:tc>
          <w:tcPr>
            <w:tcW w:w="3500" w:type="pct"/>
            <w:tcBorders>
              <w:top w:val="single" w:color="auto" w:sz="4" w:space="0"/>
              <w:left w:val="single" w:color="auto" w:sz="4" w:space="0"/>
              <w:bottom w:val="single" w:color="auto" w:sz="4" w:space="0"/>
              <w:right w:val="single" w:color="auto" w:sz="4" w:space="0"/>
            </w:tcBorders>
            <w:vAlign w:val="center"/>
          </w:tcPr>
          <w:p w14:paraId="4E51A926">
            <w:pPr>
              <w:widowControl/>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在职业教育数字化与“人工智能+”背景下，面向智能制造与机器人等产业需求，依托院校专业基础与区域产业优势，推进具身智能相关专业群建设，构建AI与机器人技术、智能控制、物联网等协同发展的专业体系。</w:t>
            </w:r>
            <w:r>
              <w:rPr>
                <w:rFonts w:hint="eastAsia" w:ascii="宋体" w:hAnsi="宋体" w:eastAsia="宋体"/>
                <w:b/>
                <w:bCs/>
                <w:color w:val="000000" w:themeColor="text1"/>
                <w:sz w:val="20"/>
                <w:szCs w:val="20"/>
                <w14:textFill>
                  <w14:solidFill>
                    <w14:schemeClr w14:val="tx1"/>
                  </w14:solidFill>
                </w14:textFill>
              </w:rPr>
              <w:t>研究内容包含但不限于</w:t>
            </w:r>
            <w:r>
              <w:rPr>
                <w:rFonts w:hint="eastAsia" w:ascii="宋体" w:hAnsi="宋体" w:eastAsia="宋体"/>
                <w:color w:val="000000" w:themeColor="text1"/>
                <w:sz w:val="20"/>
                <w:szCs w:val="20"/>
                <w14:textFill>
                  <w14:solidFill>
                    <w14:schemeClr w14:val="tx1"/>
                  </w14:solidFill>
                </w14:textFill>
              </w:rPr>
              <w:t>具身智能相关专业群建设研究与实践、模块化课程设计、项目化教学、虚实结合实训平台建设、校企协同育人、“双师型”教师培养及多元评价认证，在典型产业场景形成可复制、可推广的教育与实训模式。</w:t>
            </w:r>
          </w:p>
        </w:tc>
      </w:tr>
      <w:tr w14:paraId="2A9C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1FD6CEA5">
            <w:pPr>
              <w:widowControl/>
              <w:spacing w:line="320" w:lineRule="exact"/>
              <w:jc w:val="center"/>
              <w:rPr>
                <w:rFonts w:ascii="宋体" w:hAnsi="宋体" w:eastAsia="宋体"/>
                <w:sz w:val="20"/>
                <w:szCs w:val="20"/>
              </w:rPr>
            </w:pPr>
            <w:r>
              <w:rPr>
                <w:rFonts w:hint="eastAsia" w:ascii="宋体" w:hAnsi="宋体" w:eastAsia="宋体"/>
                <w:sz w:val="20"/>
                <w:szCs w:val="20"/>
              </w:rPr>
              <w:t>B07</w:t>
            </w:r>
          </w:p>
        </w:tc>
        <w:tc>
          <w:tcPr>
            <w:tcW w:w="940" w:type="pct"/>
            <w:tcBorders>
              <w:top w:val="single" w:color="auto" w:sz="4" w:space="0"/>
              <w:left w:val="single" w:color="auto" w:sz="4" w:space="0"/>
              <w:bottom w:val="single" w:color="auto" w:sz="4" w:space="0"/>
              <w:right w:val="single" w:color="auto" w:sz="4" w:space="0"/>
            </w:tcBorders>
            <w:noWrap/>
            <w:vAlign w:val="center"/>
          </w:tcPr>
          <w:p w14:paraId="1077ADF6">
            <w:pPr>
              <w:widowControl/>
              <w:spacing w:line="320" w:lineRule="exact"/>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新双高建设与高职升本协同推进背景下高职科研平台体系构建与应用科研落地实践研究</w:t>
            </w:r>
          </w:p>
        </w:tc>
        <w:tc>
          <w:tcPr>
            <w:tcW w:w="3500" w:type="pct"/>
            <w:tcBorders>
              <w:top w:val="single" w:color="auto" w:sz="4" w:space="0"/>
              <w:left w:val="single" w:color="auto" w:sz="4" w:space="0"/>
              <w:bottom w:val="single" w:color="auto" w:sz="4" w:space="0"/>
              <w:right w:val="single" w:color="auto" w:sz="4" w:space="0"/>
            </w:tcBorders>
            <w:vAlign w:val="center"/>
          </w:tcPr>
          <w:p w14:paraId="028D47D7">
            <w:pPr>
              <w:widowControl/>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为深入贯彻职业教育高质量发展要求，推动新双高建设与高职升本协同增效</w:t>
            </w:r>
            <w:r>
              <w:rPr>
                <w:rFonts w:ascii="宋体" w:hAnsi="宋体" w:eastAsia="宋体"/>
                <w:color w:val="000000" w:themeColor="text1"/>
                <w:sz w:val="20"/>
                <w:szCs w:val="20"/>
                <w14:textFill>
                  <w14:solidFill>
                    <w14:schemeClr w14:val="tx1"/>
                  </w14:solidFill>
                </w14:textFill>
              </w:rPr>
              <w:t>，聚焦高职科研平台规范化、体系化建设，强化应用技术研发、技术服务与成果转化落地</w:t>
            </w:r>
            <w:r>
              <w:rPr>
                <w:rFonts w:hint="eastAsia" w:ascii="宋体" w:hAnsi="宋体" w:eastAsia="宋体"/>
                <w:color w:val="000000" w:themeColor="text1"/>
                <w:sz w:val="20"/>
                <w:szCs w:val="20"/>
                <w14:textFill>
                  <w14:solidFill>
                    <w14:schemeClr w14:val="tx1"/>
                  </w14:solidFill>
                </w14:textFill>
              </w:rPr>
              <w:t>，设立该研究方向。</w:t>
            </w:r>
          </w:p>
          <w:p w14:paraId="7BBD426B">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研究内容包括但不限于</w:t>
            </w:r>
            <w:r>
              <w:rPr>
                <w:rFonts w:hint="eastAsia" w:ascii="宋体" w:hAnsi="宋体" w:eastAsia="宋体"/>
                <w:color w:val="000000" w:themeColor="text1"/>
                <w:sz w:val="20"/>
                <w:szCs w:val="20"/>
                <w14:textFill>
                  <w14:solidFill>
                    <w14:schemeClr w14:val="tx1"/>
                  </w14:solidFill>
                </w14:textFill>
              </w:rPr>
              <w:t>政策定位与发展思路、科研平台建设与梯次培育、校企协同与产教融合科研模式及机制创新、科研项目与经费落地的管理及使用效益提升机制、专利与成果转化培育，申报，质量提升研究与实践、双高与升本科研指标协同提质增效、科研团队与师资发展、管理，评价与保障体系构建与实践创新等研究与实践创新，鼓励各类院校结合本校实际积极申报。</w:t>
            </w:r>
          </w:p>
        </w:tc>
      </w:tr>
      <w:tr w14:paraId="49C8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5AC80419">
            <w:pPr>
              <w:widowControl/>
              <w:spacing w:line="320" w:lineRule="exact"/>
              <w:jc w:val="center"/>
              <w:textAlignment w:val="center"/>
              <w:rPr>
                <w:rFonts w:ascii="宋体" w:hAnsi="宋体" w:eastAsia="宋体"/>
                <w:color w:val="000000"/>
                <w:sz w:val="20"/>
                <w:szCs w:val="20"/>
              </w:rPr>
            </w:pPr>
            <w:r>
              <w:rPr>
                <w:rFonts w:hint="eastAsia" w:ascii="宋体" w:hAnsi="宋体" w:eastAsia="宋体"/>
                <w:sz w:val="20"/>
                <w:szCs w:val="20"/>
              </w:rPr>
              <w:t>B08</w:t>
            </w:r>
          </w:p>
        </w:tc>
        <w:tc>
          <w:tcPr>
            <w:tcW w:w="940" w:type="pct"/>
            <w:tcBorders>
              <w:top w:val="single" w:color="auto" w:sz="4" w:space="0"/>
              <w:left w:val="single" w:color="auto" w:sz="4" w:space="0"/>
              <w:bottom w:val="single" w:color="auto" w:sz="4" w:space="0"/>
              <w:right w:val="single" w:color="auto" w:sz="4" w:space="0"/>
            </w:tcBorders>
            <w:noWrap/>
            <w:vAlign w:val="center"/>
          </w:tcPr>
          <w:p w14:paraId="2FFD6A50">
            <w:pPr>
              <w:widowControl/>
              <w:spacing w:line="320" w:lineRule="exact"/>
              <w:textAlignment w:val="center"/>
              <w:rPr>
                <w:rFonts w:ascii="宋体" w:hAnsi="宋体" w:eastAsia="宋体"/>
                <w:color w:val="000000"/>
                <w:sz w:val="20"/>
                <w:szCs w:val="20"/>
              </w:rPr>
            </w:pPr>
            <w:r>
              <w:rPr>
                <w:rFonts w:ascii="宋体" w:hAnsi="宋体" w:eastAsia="宋体"/>
                <w:color w:val="000000"/>
                <w:sz w:val="20"/>
                <w:szCs w:val="20"/>
              </w:rPr>
              <w:t>职业教育出海模式创新与落地实施路径研究</w:t>
            </w:r>
          </w:p>
        </w:tc>
        <w:tc>
          <w:tcPr>
            <w:tcW w:w="3500" w:type="pct"/>
            <w:tcBorders>
              <w:top w:val="single" w:color="auto" w:sz="4" w:space="0"/>
              <w:left w:val="single" w:color="auto" w:sz="4" w:space="0"/>
              <w:bottom w:val="single" w:color="auto" w:sz="4" w:space="0"/>
              <w:right w:val="single" w:color="auto" w:sz="4" w:space="0"/>
            </w:tcBorders>
            <w:vAlign w:val="center"/>
          </w:tcPr>
          <w:p w14:paraId="32556D7A">
            <w:pPr>
              <w:widowControl/>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为深入贯彻落实国家职业教育对外开放战略，服务“一带一路”倡议与国际产能合作，推动中国特色职业教育模式、标准、资源走出去，助力职业教育高质量发展，设立该研究方向。</w:t>
            </w:r>
          </w:p>
          <w:p w14:paraId="3A70E724">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研究内容包括但不限于</w:t>
            </w:r>
            <w:r>
              <w:rPr>
                <w:rFonts w:hint="eastAsia" w:ascii="宋体" w:hAnsi="宋体" w:eastAsia="宋体"/>
                <w:color w:val="000000" w:themeColor="text1"/>
                <w:sz w:val="20"/>
                <w:szCs w:val="20"/>
                <w14:textFill>
                  <w14:solidFill>
                    <w14:schemeClr w14:val="tx1"/>
                  </w14:solidFill>
                </w14:textFill>
              </w:rPr>
              <w:t>战略定位与基础规划、核心出海模式与载体创新、本土化落地与运营管理、职教标准与资源出海、分专业/领域出海特色、新双高与职业本科出海模式与实践、风险防控与保障体系研究与实践、典型案例与经验推广等实践创新与研究。</w:t>
            </w:r>
          </w:p>
          <w:p w14:paraId="0EA9CB3C">
            <w:pPr>
              <w:widowControl/>
              <w:spacing w:line="320" w:lineRule="exact"/>
              <w:ind w:firstLine="400" w:firstLineChars="200"/>
              <w:rPr>
                <w:rFonts w:ascii="宋体" w:hAnsi="宋体" w:eastAsia="宋体"/>
                <w:color w:val="000000"/>
                <w:sz w:val="20"/>
                <w:szCs w:val="20"/>
              </w:rPr>
            </w:pPr>
            <w:r>
              <w:rPr>
                <w:rFonts w:hint="eastAsia" w:ascii="宋体" w:hAnsi="宋体" w:eastAsia="宋体"/>
                <w:color w:val="000000" w:themeColor="text1"/>
                <w:sz w:val="20"/>
                <w:szCs w:val="20"/>
                <w14:textFill>
                  <w14:solidFill>
                    <w14:schemeClr w14:val="tx1"/>
                  </w14:solidFill>
                </w14:textFill>
              </w:rPr>
              <w:t>申报院校可在主选题框架下，结合自身实际微调子选题方向，鼓励贴合地方产业、专业特色做个性化细化。</w:t>
            </w:r>
          </w:p>
        </w:tc>
      </w:tr>
      <w:tr w14:paraId="15B5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511EA38A">
            <w:pPr>
              <w:widowControl/>
              <w:spacing w:line="320" w:lineRule="exact"/>
              <w:jc w:val="center"/>
              <w:rPr>
                <w:rFonts w:ascii="宋体" w:hAnsi="宋体" w:eastAsia="宋体"/>
                <w:sz w:val="20"/>
                <w:szCs w:val="20"/>
              </w:rPr>
            </w:pPr>
            <w:r>
              <w:rPr>
                <w:rFonts w:hint="eastAsia" w:ascii="宋体" w:hAnsi="宋体" w:eastAsia="宋体"/>
                <w:sz w:val="20"/>
                <w:szCs w:val="20"/>
              </w:rPr>
              <w:t>B09</w:t>
            </w:r>
          </w:p>
        </w:tc>
        <w:tc>
          <w:tcPr>
            <w:tcW w:w="940" w:type="pct"/>
            <w:tcBorders>
              <w:top w:val="single" w:color="auto" w:sz="4" w:space="0"/>
              <w:left w:val="single" w:color="auto" w:sz="4" w:space="0"/>
              <w:bottom w:val="single" w:color="auto" w:sz="4" w:space="0"/>
              <w:right w:val="single" w:color="auto" w:sz="4" w:space="0"/>
            </w:tcBorders>
            <w:noWrap/>
            <w:vAlign w:val="center"/>
          </w:tcPr>
          <w:p w14:paraId="66B8FC38">
            <w:pPr>
              <w:widowControl/>
              <w:spacing w:line="320" w:lineRule="exact"/>
              <w:rPr>
                <w:rFonts w:ascii="宋体" w:hAnsi="宋体" w:eastAsia="宋体"/>
                <w:iCs/>
                <w:sz w:val="20"/>
                <w:szCs w:val="20"/>
              </w:rPr>
            </w:pPr>
            <w:r>
              <w:rPr>
                <w:rFonts w:hint="eastAsia" w:ascii="宋体" w:hAnsi="宋体" w:eastAsia="宋体"/>
                <w:iCs/>
                <w:sz w:val="20"/>
                <w:szCs w:val="20"/>
              </w:rPr>
              <w:t>数字赋能“新双高”多场景建设任务创新研究</w:t>
            </w:r>
          </w:p>
        </w:tc>
        <w:tc>
          <w:tcPr>
            <w:tcW w:w="3500" w:type="pct"/>
            <w:tcBorders>
              <w:top w:val="single" w:color="auto" w:sz="4" w:space="0"/>
              <w:left w:val="single" w:color="auto" w:sz="4" w:space="0"/>
              <w:bottom w:val="single" w:color="auto" w:sz="4" w:space="0"/>
              <w:right w:val="single" w:color="auto" w:sz="4" w:space="0"/>
            </w:tcBorders>
            <w:vAlign w:val="center"/>
          </w:tcPr>
          <w:p w14:paraId="5C6F0333">
            <w:pPr>
              <w:widowControl/>
              <w:spacing w:line="320" w:lineRule="exact"/>
              <w:ind w:firstLine="400" w:firstLineChars="200"/>
              <w:textAlignment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sz w:val="20"/>
                <w:szCs w:val="20"/>
              </w:rPr>
              <w:t>研究内容包含但不限于：</w:t>
            </w:r>
            <w:r>
              <w:rPr>
                <w:rFonts w:hint="eastAsia" w:ascii="宋体" w:hAnsi="宋体" w:eastAsia="宋体"/>
                <w:color w:val="000000"/>
                <w:kern w:val="0"/>
                <w:sz w:val="20"/>
                <w:szCs w:val="20"/>
              </w:rPr>
              <w:t>数字赋能新双高背景下的“立德树人落实、产教融合机制创新 、数字化教学新生态构建、高技能人才培养与发展、</w:t>
            </w:r>
            <w:r>
              <w:rPr>
                <w:rFonts w:hint="eastAsia" w:asciiTheme="minorEastAsia" w:hAnsiTheme="minorEastAsia" w:eastAsiaTheme="minorEastAsia" w:cstheme="minorEastAsia"/>
                <w:sz w:val="20"/>
                <w:szCs w:val="20"/>
                <w:lang w:bidi="ar"/>
              </w:rPr>
              <w:t>人工智能辅助教学质量监测与评价</w:t>
            </w:r>
            <w:r>
              <w:rPr>
                <w:rFonts w:hint="eastAsia" w:ascii="宋体" w:hAnsi="宋体" w:eastAsia="宋体"/>
                <w:color w:val="000000"/>
                <w:kern w:val="0"/>
                <w:sz w:val="20"/>
                <w:szCs w:val="20"/>
              </w:rPr>
              <w:t>”等场景研究与创新。</w:t>
            </w:r>
            <w:r>
              <w:rPr>
                <w:rFonts w:hint="eastAsia" w:ascii="宋体" w:hAnsi="宋体" w:eastAsia="宋体"/>
                <w:color w:val="000000"/>
                <w:sz w:val="20"/>
                <w:szCs w:val="20"/>
              </w:rPr>
              <w:t>基于本校和研究者</w:t>
            </w:r>
            <w:r>
              <w:rPr>
                <w:rFonts w:ascii="宋体" w:hAnsi="宋体" w:eastAsia="宋体"/>
                <w:color w:val="000000"/>
                <w:sz w:val="20"/>
                <w:szCs w:val="20"/>
              </w:rPr>
              <w:t>实际</w:t>
            </w:r>
            <w:r>
              <w:rPr>
                <w:rFonts w:hint="eastAsia" w:ascii="宋体" w:hAnsi="宋体" w:eastAsia="宋体"/>
                <w:color w:val="000000"/>
                <w:sz w:val="20"/>
                <w:szCs w:val="20"/>
              </w:rPr>
              <w:t>情</w:t>
            </w:r>
            <w:r>
              <w:rPr>
                <w:rFonts w:ascii="宋体" w:hAnsi="宋体" w:eastAsia="宋体"/>
                <w:color w:val="000000"/>
                <w:sz w:val="20"/>
                <w:szCs w:val="20"/>
              </w:rPr>
              <w:t>况，选择一个或多个方向进行深入研究</w:t>
            </w:r>
            <w:r>
              <w:rPr>
                <w:rFonts w:hint="eastAsia" w:ascii="宋体" w:hAnsi="宋体" w:eastAsia="宋体"/>
                <w:color w:val="000000"/>
                <w:sz w:val="20"/>
                <w:szCs w:val="20"/>
              </w:rPr>
              <w:t>或创新实践。</w:t>
            </w:r>
          </w:p>
        </w:tc>
      </w:tr>
    </w:tbl>
    <w:p w14:paraId="4DF3C1C2">
      <w:pPr>
        <w:spacing w:line="360" w:lineRule="auto"/>
        <w:rPr>
          <w:rFonts w:asciiTheme="minorEastAsia" w:hAnsiTheme="minorEastAsia" w:eastAsiaTheme="minorEastAsia" w:cstheme="minorEastAsia"/>
          <w:b/>
          <w:bCs/>
          <w:sz w:val="24"/>
          <w:szCs w:val="24"/>
        </w:rPr>
      </w:pPr>
    </w:p>
    <w:p w14:paraId="31BB7039">
      <w:pPr>
        <w:spacing w:line="360" w:lineRule="auto"/>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表三 “数字化转型下智慧新基建创新（面向本科、高职院校）”选题列表</w:t>
      </w:r>
    </w:p>
    <w:tbl>
      <w:tblPr>
        <w:tblStyle w:val="8"/>
        <w:tblW w:w="5149"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630"/>
        <w:gridCol w:w="6551"/>
      </w:tblGrid>
      <w:tr w14:paraId="7D5E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60" w:type="pct"/>
            <w:tcBorders>
              <w:top w:val="single" w:color="auto" w:sz="4" w:space="0"/>
              <w:left w:val="single" w:color="auto" w:sz="4" w:space="0"/>
              <w:bottom w:val="single" w:color="auto" w:sz="4" w:space="0"/>
              <w:right w:val="single" w:color="auto" w:sz="4" w:space="0"/>
            </w:tcBorders>
            <w:shd w:val="clear" w:color="auto" w:fill="BFBFBF"/>
            <w:vAlign w:val="center"/>
          </w:tcPr>
          <w:p w14:paraId="2BE1BB99">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课题方向编号</w:t>
            </w:r>
          </w:p>
        </w:tc>
        <w:tc>
          <w:tcPr>
            <w:tcW w:w="885" w:type="pct"/>
            <w:tcBorders>
              <w:top w:val="single" w:color="auto" w:sz="4" w:space="0"/>
              <w:left w:val="single" w:color="auto" w:sz="4" w:space="0"/>
              <w:bottom w:val="single" w:color="auto" w:sz="4" w:space="0"/>
              <w:right w:val="single" w:color="auto" w:sz="4" w:space="0"/>
            </w:tcBorders>
            <w:shd w:val="clear" w:color="auto" w:fill="BFBFBF"/>
            <w:noWrap/>
            <w:vAlign w:val="center"/>
          </w:tcPr>
          <w:p w14:paraId="66FCD67B">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课题方向</w:t>
            </w:r>
          </w:p>
        </w:tc>
        <w:tc>
          <w:tcPr>
            <w:tcW w:w="3554" w:type="pct"/>
            <w:tcBorders>
              <w:top w:val="single" w:color="auto" w:sz="4" w:space="0"/>
              <w:left w:val="single" w:color="auto" w:sz="4" w:space="0"/>
              <w:bottom w:val="single" w:color="auto" w:sz="4" w:space="0"/>
              <w:right w:val="single" w:color="auto" w:sz="4" w:space="0"/>
            </w:tcBorders>
            <w:shd w:val="clear" w:color="auto" w:fill="BFBFBF"/>
            <w:vAlign w:val="center"/>
          </w:tcPr>
          <w:p w14:paraId="14AF675E">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课题研究内容</w:t>
            </w:r>
          </w:p>
        </w:tc>
      </w:tr>
      <w:tr w14:paraId="5F2B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0E377D13">
            <w:pPr>
              <w:spacing w:line="320" w:lineRule="exact"/>
              <w:jc w:val="center"/>
              <w:rPr>
                <w:rFonts w:eastAsia="宋体" w:asciiTheme="minorEastAsia" w:hAnsiTheme="minorEastAsia" w:cstheme="minorEastAsia"/>
                <w:color w:val="000000" w:themeColor="text1"/>
                <w:sz w:val="20"/>
                <w:szCs w:val="20"/>
                <w14:textFill>
                  <w14:solidFill>
                    <w14:schemeClr w14:val="tx1"/>
                  </w14:solidFill>
                </w14:textFill>
              </w:rPr>
            </w:pPr>
            <w:r>
              <w:rPr>
                <w:rFonts w:hint="eastAsia" w:ascii="宋体" w:hAnsi="宋体" w:eastAsia="宋体"/>
                <w:sz w:val="20"/>
                <w:szCs w:val="20"/>
              </w:rPr>
              <w:t>C01</w:t>
            </w:r>
          </w:p>
        </w:tc>
        <w:tc>
          <w:tcPr>
            <w:tcW w:w="885" w:type="pct"/>
            <w:tcBorders>
              <w:top w:val="single" w:color="auto" w:sz="4" w:space="0"/>
              <w:left w:val="single" w:color="auto" w:sz="4" w:space="0"/>
              <w:bottom w:val="single" w:color="auto" w:sz="4" w:space="0"/>
              <w:right w:val="single" w:color="auto" w:sz="4" w:space="0"/>
            </w:tcBorders>
            <w:noWrap/>
            <w:vAlign w:val="center"/>
          </w:tcPr>
          <w:p w14:paraId="74290400">
            <w:pPr>
              <w:widowControl/>
              <w:spacing w:line="320" w:lineRule="exact"/>
              <w:rPr>
                <w:rFonts w:asciiTheme="minorEastAsia" w:hAnsiTheme="minorEastAsia" w:eastAsiaTheme="minorEastAsia" w:cstheme="minorEastAsia"/>
                <w:bCs/>
                <w:sz w:val="20"/>
                <w:szCs w:val="20"/>
                <w:lang w:bidi="ar"/>
              </w:rPr>
            </w:pPr>
            <w:r>
              <w:rPr>
                <w:rFonts w:hint="eastAsia" w:asciiTheme="minorEastAsia" w:hAnsiTheme="minorEastAsia" w:eastAsiaTheme="minorEastAsia" w:cstheme="minorEastAsia"/>
                <w:sz w:val="20"/>
                <w:szCs w:val="20"/>
                <w:lang w:bidi="ar"/>
              </w:rPr>
              <w:t>数字化转型背景下的全光网建设实践研究</w:t>
            </w:r>
          </w:p>
        </w:tc>
        <w:tc>
          <w:tcPr>
            <w:tcW w:w="3554" w:type="pct"/>
            <w:tcBorders>
              <w:top w:val="single" w:color="auto" w:sz="4" w:space="0"/>
              <w:left w:val="single" w:color="auto" w:sz="4" w:space="0"/>
              <w:bottom w:val="single" w:color="auto" w:sz="4" w:space="0"/>
              <w:right w:val="single" w:color="auto" w:sz="4" w:space="0"/>
            </w:tcBorders>
            <w:vAlign w:val="center"/>
          </w:tcPr>
          <w:p w14:paraId="3BD31061">
            <w:pPr>
              <w:widowControl/>
              <w:spacing w:before="31" w:beforeLines="10" w:after="31" w:afterLines="10" w:line="320" w:lineRule="exact"/>
              <w:ind w:firstLine="400"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sz w:val="20"/>
                <w:szCs w:val="20"/>
                <w:lang w:bidi="ar"/>
              </w:rPr>
              <w:t>教育、医疗数字化转型的深化，要求全光网从 “基础设施” 向 “数智生态” 延伸，结合学校、医院自身业务特色、场景需求，融合人工智能、大数据等技术，进行全光网建设实践研究。</w:t>
            </w:r>
          </w:p>
          <w:p w14:paraId="3DC7535C">
            <w:pPr>
              <w:widowControl/>
              <w:spacing w:before="31" w:beforeLines="10" w:after="31" w:afterLines="10" w:line="320" w:lineRule="exact"/>
              <w:ind w:firstLine="400"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sz w:val="20"/>
                <w:szCs w:val="20"/>
                <w:lang w:bidi="ar"/>
              </w:rPr>
              <w:t>1.研究新一代全光网络技术在智慧校园的应用研究与实践；</w:t>
            </w:r>
          </w:p>
          <w:p w14:paraId="3D78BD40">
            <w:pPr>
              <w:widowControl/>
              <w:spacing w:before="31" w:beforeLines="10" w:after="31" w:afterLines="10" w:line="320" w:lineRule="exact"/>
              <w:ind w:firstLine="400" w:firstLineChars="200"/>
              <w:rPr>
                <w:rFonts w:asciiTheme="minorEastAsia" w:hAnsiTheme="minorEastAsia" w:eastAsiaTheme="minorEastAsia" w:cstheme="minorEastAsia"/>
                <w:b/>
                <w:bCs/>
                <w:sz w:val="20"/>
                <w:szCs w:val="20"/>
                <w:lang w:bidi="ar"/>
              </w:rPr>
            </w:pPr>
            <w:r>
              <w:rPr>
                <w:rFonts w:hint="eastAsia" w:asciiTheme="minorEastAsia" w:hAnsiTheme="minorEastAsia" w:eastAsiaTheme="minorEastAsia" w:cstheme="minorEastAsia"/>
                <w:sz w:val="20"/>
                <w:szCs w:val="20"/>
                <w:lang w:bidi="ar"/>
              </w:rPr>
              <w:t>2.研究新一代全光网络技术在智慧医疗的应用研究与实践。</w:t>
            </w:r>
          </w:p>
        </w:tc>
      </w:tr>
      <w:tr w14:paraId="73E3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308A3B6B">
            <w:pPr>
              <w:spacing w:line="320" w:lineRule="exact"/>
              <w:jc w:val="center"/>
              <w:rPr>
                <w:rFonts w:eastAsia="宋体" w:asciiTheme="minorEastAsia" w:hAnsiTheme="minorEastAsia" w:cstheme="minorEastAsia"/>
                <w:color w:val="000000" w:themeColor="text1"/>
                <w:sz w:val="20"/>
                <w:szCs w:val="20"/>
                <w14:textFill>
                  <w14:solidFill>
                    <w14:schemeClr w14:val="tx1"/>
                  </w14:solidFill>
                </w14:textFill>
              </w:rPr>
            </w:pPr>
            <w:r>
              <w:rPr>
                <w:rFonts w:hint="eastAsia" w:ascii="宋体" w:hAnsi="宋体" w:eastAsia="宋体"/>
                <w:sz w:val="20"/>
                <w:szCs w:val="20"/>
              </w:rPr>
              <w:t>C02</w:t>
            </w:r>
          </w:p>
        </w:tc>
        <w:tc>
          <w:tcPr>
            <w:tcW w:w="885" w:type="pct"/>
            <w:tcBorders>
              <w:top w:val="single" w:color="auto" w:sz="4" w:space="0"/>
              <w:left w:val="single" w:color="auto" w:sz="4" w:space="0"/>
              <w:bottom w:val="single" w:color="auto" w:sz="4" w:space="0"/>
              <w:right w:val="single" w:color="auto" w:sz="4" w:space="0"/>
            </w:tcBorders>
            <w:noWrap/>
            <w:vAlign w:val="center"/>
          </w:tcPr>
          <w:p w14:paraId="6DDDC678">
            <w:pPr>
              <w:widowControl/>
              <w:spacing w:line="320" w:lineRule="exact"/>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sz w:val="20"/>
                <w:szCs w:val="20"/>
                <w:lang w:bidi="ar"/>
              </w:rPr>
              <w:t>数字化转型背景下的“一朵云”终端管理建设实践研究</w:t>
            </w:r>
          </w:p>
        </w:tc>
        <w:tc>
          <w:tcPr>
            <w:tcW w:w="3554" w:type="pct"/>
            <w:tcBorders>
              <w:top w:val="single" w:color="auto" w:sz="4" w:space="0"/>
              <w:left w:val="single" w:color="auto" w:sz="4" w:space="0"/>
              <w:bottom w:val="single" w:color="auto" w:sz="4" w:space="0"/>
              <w:right w:val="single" w:color="auto" w:sz="4" w:space="0"/>
            </w:tcBorders>
            <w:vAlign w:val="center"/>
          </w:tcPr>
          <w:p w14:paraId="61A9E998">
            <w:pPr>
              <w:widowControl/>
              <w:spacing w:before="31" w:beforeLines="10" w:after="31" w:afterLines="10" w:line="320" w:lineRule="exact"/>
              <w:ind w:firstLine="400"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sz w:val="20"/>
                <w:szCs w:val="20"/>
                <w:lang w:bidi="ar"/>
              </w:rPr>
              <w:t>在数字化转型向纵深推进的过程中，智慧校园/智慧医院建设已从“分散化信息化”迈入“集约化数智化”的新阶段。结合单位自身业务特色与场景需求，融合AI、边缘计算等技术，进行“一朵云”终端管理建设实践研究。</w:t>
            </w:r>
          </w:p>
        </w:tc>
      </w:tr>
      <w:tr w14:paraId="31C2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tcBorders>
              <w:top w:val="single" w:color="auto" w:sz="4" w:space="0"/>
              <w:left w:val="single" w:color="auto" w:sz="4" w:space="0"/>
              <w:bottom w:val="single" w:color="auto" w:sz="4" w:space="0"/>
              <w:right w:val="single" w:color="auto" w:sz="4" w:space="0"/>
            </w:tcBorders>
            <w:vAlign w:val="center"/>
          </w:tcPr>
          <w:p w14:paraId="293495F9">
            <w:pPr>
              <w:spacing w:line="320" w:lineRule="exact"/>
              <w:jc w:val="center"/>
              <w:rPr>
                <w:rFonts w:eastAsia="宋体" w:asciiTheme="minorEastAsia" w:hAnsiTheme="minorEastAsia" w:cstheme="minorEastAsia"/>
                <w:color w:val="000000" w:themeColor="text1"/>
                <w:sz w:val="20"/>
                <w:szCs w:val="20"/>
                <w14:textFill>
                  <w14:solidFill>
                    <w14:schemeClr w14:val="tx1"/>
                  </w14:solidFill>
                </w14:textFill>
              </w:rPr>
            </w:pPr>
            <w:r>
              <w:rPr>
                <w:rFonts w:hint="eastAsia" w:ascii="宋体" w:hAnsi="宋体" w:eastAsia="宋体"/>
                <w:sz w:val="20"/>
                <w:szCs w:val="20"/>
              </w:rPr>
              <w:t>C03</w:t>
            </w:r>
          </w:p>
        </w:tc>
        <w:tc>
          <w:tcPr>
            <w:tcW w:w="885" w:type="pct"/>
            <w:tcBorders>
              <w:top w:val="single" w:color="auto" w:sz="4" w:space="0"/>
              <w:left w:val="single" w:color="auto" w:sz="4" w:space="0"/>
              <w:bottom w:val="single" w:color="auto" w:sz="4" w:space="0"/>
              <w:right w:val="single" w:color="auto" w:sz="4" w:space="0"/>
            </w:tcBorders>
            <w:noWrap/>
            <w:vAlign w:val="center"/>
          </w:tcPr>
          <w:p w14:paraId="7283FECC">
            <w:pPr>
              <w:widowControl/>
              <w:spacing w:line="320" w:lineRule="exact"/>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sz w:val="20"/>
                <w:szCs w:val="20"/>
                <w:lang w:bidi="ar"/>
              </w:rPr>
              <w:t>AI校园建设研究探索</w:t>
            </w:r>
          </w:p>
        </w:tc>
        <w:tc>
          <w:tcPr>
            <w:tcW w:w="3554" w:type="pct"/>
            <w:tcBorders>
              <w:top w:val="single" w:color="auto" w:sz="4" w:space="0"/>
              <w:left w:val="single" w:color="auto" w:sz="4" w:space="0"/>
              <w:bottom w:val="single" w:color="auto" w:sz="4" w:space="0"/>
              <w:right w:val="single" w:color="auto" w:sz="4" w:space="0"/>
            </w:tcBorders>
            <w:vAlign w:val="center"/>
          </w:tcPr>
          <w:p w14:paraId="6F5F80C5">
            <w:pPr>
              <w:widowControl/>
              <w:spacing w:before="31" w:beforeLines="10" w:after="31" w:afterLines="10" w:line="320" w:lineRule="exact"/>
              <w:ind w:firstLine="400" w:firstLineChars="200"/>
              <w:rPr>
                <w:rFonts w:asciiTheme="minorEastAsia" w:hAnsiTheme="minorEastAsia" w:eastAsiaTheme="minorEastAsia" w:cstheme="minorEastAsia"/>
                <w:b/>
                <w:bCs/>
                <w:sz w:val="20"/>
                <w:szCs w:val="20"/>
                <w:lang w:bidi="ar"/>
              </w:rPr>
            </w:pPr>
            <w:r>
              <w:rPr>
                <w:rFonts w:hint="eastAsia" w:asciiTheme="minorEastAsia" w:hAnsiTheme="minorEastAsia" w:eastAsiaTheme="minorEastAsia" w:cstheme="minorEastAsia"/>
                <w:sz w:val="20"/>
                <w:szCs w:val="20"/>
                <w:lang w:bidi="ar"/>
              </w:rPr>
              <w:t>在教育数字化转型与AI技术深度融合的背景下，AI校园已从“技术试点”进入“生态构建”新阶段。研究内容包括但不限于AI校园核心内涵、关键建设领域、典型实践模式及发展路径研究、智算中心研究与实践、具身智能在校园智能化场景落地研究、校园AI数据空间研究与实践、算力与模型智能调度研究与实践、校园智能体应用探索实践等，为教育智能化转型提供理论与实践参考。</w:t>
            </w:r>
          </w:p>
        </w:tc>
      </w:tr>
      <w:tr w14:paraId="4077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vAlign w:val="center"/>
          </w:tcPr>
          <w:p w14:paraId="0A3F7DD7">
            <w:pPr>
              <w:spacing w:line="320" w:lineRule="exact"/>
              <w:jc w:val="center"/>
              <w:rPr>
                <w:rFonts w:ascii="宋体" w:hAnsi="宋体" w:eastAsia="宋体"/>
                <w:sz w:val="20"/>
                <w:szCs w:val="20"/>
              </w:rPr>
            </w:pPr>
            <w:r>
              <w:rPr>
                <w:rFonts w:hint="eastAsia" w:ascii="宋体" w:hAnsi="宋体" w:eastAsia="宋体"/>
                <w:sz w:val="20"/>
                <w:szCs w:val="20"/>
              </w:rPr>
              <w:t>C04</w:t>
            </w:r>
          </w:p>
        </w:tc>
        <w:tc>
          <w:tcPr>
            <w:tcW w:w="885" w:type="pct"/>
            <w:vAlign w:val="center"/>
          </w:tcPr>
          <w:p w14:paraId="3CD83089">
            <w:pPr>
              <w:widowControl/>
              <w:spacing w:line="320" w:lineRule="exact"/>
              <w:rPr>
                <w:rFonts w:ascii="宋体" w:hAnsi="宋体" w:eastAsia="宋体"/>
                <w:iCs/>
                <w:sz w:val="20"/>
                <w:szCs w:val="20"/>
              </w:rPr>
            </w:pPr>
            <w:r>
              <w:rPr>
                <w:rFonts w:hint="eastAsia" w:ascii="宋体" w:hAnsi="宋体" w:eastAsia="宋体"/>
                <w:iCs/>
                <w:sz w:val="20"/>
                <w:szCs w:val="20"/>
              </w:rPr>
              <w:t>多业务场景安全体系建设实践探索</w:t>
            </w:r>
          </w:p>
        </w:tc>
        <w:tc>
          <w:tcPr>
            <w:tcW w:w="3554" w:type="pct"/>
            <w:vAlign w:val="center"/>
          </w:tcPr>
          <w:p w14:paraId="2CE7D389">
            <w:pPr>
              <w:spacing w:line="300" w:lineRule="exact"/>
              <w:rPr>
                <w:rFonts w:ascii="宋体" w:hAnsi="宋体" w:eastAsia="宋体"/>
                <w:iCs/>
                <w:sz w:val="20"/>
                <w:szCs w:val="20"/>
              </w:rPr>
            </w:pPr>
            <w:r>
              <w:rPr>
                <w:rFonts w:hint="eastAsia" w:ascii="宋体" w:hAnsi="宋体" w:eastAsia="宋体"/>
                <w:b/>
                <w:bCs/>
                <w:kern w:val="0"/>
                <w:sz w:val="20"/>
                <w:szCs w:val="20"/>
                <w:lang w:bidi="ar"/>
              </w:rPr>
              <w:t>研究内容包括但不限于以下方向：</w:t>
            </w:r>
          </w:p>
          <w:p w14:paraId="37CF79B8">
            <w:pPr>
              <w:spacing w:before="31" w:beforeLines="10" w:after="31" w:afterLines="10" w:line="320" w:lineRule="exact"/>
              <w:ind w:firstLine="400" w:firstLineChars="200"/>
              <w:rPr>
                <w:rFonts w:ascii="宋体" w:hAnsi="宋体" w:eastAsia="宋体"/>
                <w:iCs/>
                <w:sz w:val="20"/>
                <w:szCs w:val="20"/>
              </w:rPr>
            </w:pPr>
            <w:r>
              <w:rPr>
                <w:rFonts w:hint="eastAsia" w:ascii="宋体" w:hAnsi="宋体" w:eastAsia="宋体"/>
                <w:iCs/>
                <w:sz w:val="20"/>
                <w:szCs w:val="20"/>
              </w:rPr>
              <w:t>探索AI赋能智慧校园</w:t>
            </w:r>
            <w:r>
              <w:rPr>
                <w:rFonts w:hint="eastAsia" w:asciiTheme="minorEastAsia" w:hAnsiTheme="minorEastAsia" w:eastAsiaTheme="minorEastAsia" w:cstheme="minorEastAsia"/>
                <w:sz w:val="20"/>
                <w:szCs w:val="20"/>
                <w:lang w:bidi="ar"/>
              </w:rPr>
              <w:t>/智慧医院</w:t>
            </w:r>
            <w:r>
              <w:rPr>
                <w:rFonts w:hint="eastAsia" w:ascii="宋体" w:hAnsi="宋体" w:eastAsia="宋体"/>
                <w:iCs/>
                <w:sz w:val="20"/>
                <w:szCs w:val="20"/>
              </w:rPr>
              <w:t>多场景网络安全体系建设。研究内容包括但不限于：</w:t>
            </w:r>
            <w:r>
              <w:rPr>
                <w:rFonts w:hint="eastAsia" w:ascii="宋体" w:hAnsi="宋体" w:eastAsia="宋体"/>
                <w:sz w:val="20"/>
                <w:szCs w:val="20"/>
              </w:rPr>
              <w:t>数据安全运营体系、AI大模型安全防护、智慧校园/智慧医院AI安全治理、智能体安全防护、</w:t>
            </w:r>
            <w:r>
              <w:rPr>
                <w:rFonts w:hint="eastAsia" w:ascii="宋体" w:hAnsi="宋体" w:eastAsia="宋体"/>
                <w:iCs/>
                <w:sz w:val="20"/>
                <w:szCs w:val="20"/>
              </w:rPr>
              <w:t>网络安全运营（SOC）体系的信息化建设进行应用示范性探索、内存安全防护探索与实践、大数据实名分析、数字安全运营中心建设、IPV6网络安全保障体系建设、等级保护安全建设、关键基础设施安全建设、恶意病毒木马治理等细分场景的AI赋能典型应用，研究相关核心技术的应用和实践。</w:t>
            </w:r>
          </w:p>
        </w:tc>
      </w:tr>
      <w:tr w14:paraId="4727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vAlign w:val="center"/>
          </w:tcPr>
          <w:p w14:paraId="05531861">
            <w:pPr>
              <w:spacing w:line="320" w:lineRule="exact"/>
              <w:jc w:val="center"/>
              <w:rPr>
                <w:rFonts w:ascii="宋体" w:hAnsi="宋体" w:eastAsia="宋体"/>
                <w:sz w:val="20"/>
                <w:szCs w:val="20"/>
              </w:rPr>
            </w:pPr>
            <w:r>
              <w:rPr>
                <w:rFonts w:hint="eastAsia" w:ascii="宋体" w:hAnsi="宋体" w:eastAsia="宋体"/>
                <w:sz w:val="20"/>
                <w:szCs w:val="20"/>
              </w:rPr>
              <w:t>C05</w:t>
            </w:r>
          </w:p>
        </w:tc>
        <w:tc>
          <w:tcPr>
            <w:tcW w:w="885" w:type="pct"/>
            <w:vAlign w:val="center"/>
          </w:tcPr>
          <w:p w14:paraId="282DEFB2">
            <w:pPr>
              <w:widowControl/>
              <w:spacing w:line="320" w:lineRule="exact"/>
              <w:rPr>
                <w:rFonts w:ascii="宋体" w:hAnsi="宋体" w:eastAsia="宋体"/>
                <w:iCs/>
                <w:sz w:val="20"/>
                <w:szCs w:val="20"/>
              </w:rPr>
            </w:pPr>
            <w:r>
              <w:rPr>
                <w:rFonts w:hint="eastAsia" w:ascii="宋体" w:hAnsi="宋体" w:eastAsia="宋体"/>
                <w:iCs/>
                <w:sz w:val="20"/>
                <w:szCs w:val="20"/>
              </w:rPr>
              <w:t>无线网络覆盖与物联网应用研究</w:t>
            </w:r>
          </w:p>
        </w:tc>
        <w:tc>
          <w:tcPr>
            <w:tcW w:w="3554" w:type="pct"/>
            <w:vAlign w:val="center"/>
          </w:tcPr>
          <w:p w14:paraId="05586A76">
            <w:pPr>
              <w:spacing w:before="31" w:beforeLines="10" w:after="31" w:afterLines="10" w:line="320" w:lineRule="exact"/>
              <w:ind w:firstLine="400" w:firstLineChars="200"/>
              <w:rPr>
                <w:rFonts w:ascii="宋体" w:hAnsi="宋体" w:eastAsia="宋体"/>
                <w:iCs/>
                <w:sz w:val="20"/>
                <w:szCs w:val="20"/>
              </w:rPr>
            </w:pPr>
            <w:r>
              <w:rPr>
                <w:rFonts w:hint="eastAsia" w:ascii="宋体" w:hAnsi="宋体" w:eastAsia="宋体"/>
                <w:iCs/>
                <w:sz w:val="20"/>
                <w:szCs w:val="20"/>
              </w:rPr>
              <w:t>研究无线网络在高校、医疗复杂环境下的覆盖方案，探讨无线与物联网技术在业务场景中的融合应用，分析移动业务接入的连续性保障方法。</w:t>
            </w:r>
          </w:p>
        </w:tc>
      </w:tr>
      <w:tr w14:paraId="16B8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vAlign w:val="center"/>
          </w:tcPr>
          <w:p w14:paraId="26EF358B">
            <w:pPr>
              <w:spacing w:line="320" w:lineRule="exact"/>
              <w:jc w:val="center"/>
              <w:rPr>
                <w:rFonts w:ascii="宋体" w:hAnsi="宋体" w:eastAsia="宋体"/>
                <w:sz w:val="20"/>
                <w:szCs w:val="20"/>
              </w:rPr>
            </w:pPr>
            <w:r>
              <w:rPr>
                <w:rFonts w:hint="eastAsia" w:ascii="宋体" w:hAnsi="宋体" w:eastAsia="宋体"/>
                <w:sz w:val="20"/>
                <w:szCs w:val="20"/>
              </w:rPr>
              <w:t>C06</w:t>
            </w:r>
          </w:p>
        </w:tc>
        <w:tc>
          <w:tcPr>
            <w:tcW w:w="885" w:type="pct"/>
            <w:vAlign w:val="center"/>
          </w:tcPr>
          <w:p w14:paraId="75C40563">
            <w:pPr>
              <w:widowControl/>
              <w:spacing w:line="320" w:lineRule="exact"/>
              <w:rPr>
                <w:rFonts w:ascii="宋体" w:hAnsi="宋体" w:eastAsia="宋体"/>
                <w:iCs/>
                <w:sz w:val="20"/>
                <w:szCs w:val="20"/>
              </w:rPr>
            </w:pPr>
            <w:r>
              <w:rPr>
                <w:rFonts w:hint="eastAsia" w:ascii="宋体" w:hAnsi="宋体" w:eastAsia="宋体"/>
                <w:iCs/>
                <w:sz w:val="20"/>
                <w:szCs w:val="20"/>
              </w:rPr>
              <w:t>基于AI的IT基础设施智能运维平台建设与实践</w:t>
            </w:r>
          </w:p>
        </w:tc>
        <w:tc>
          <w:tcPr>
            <w:tcW w:w="3554" w:type="pct"/>
            <w:vAlign w:val="center"/>
          </w:tcPr>
          <w:p w14:paraId="75EE637F">
            <w:pPr>
              <w:spacing w:before="31" w:beforeLines="10" w:after="31" w:afterLines="10" w:line="320" w:lineRule="exact"/>
              <w:ind w:firstLine="400" w:firstLineChars="200"/>
              <w:rPr>
                <w:rFonts w:ascii="宋体" w:hAnsi="宋体" w:eastAsia="宋体"/>
                <w:iCs/>
                <w:sz w:val="20"/>
                <w:szCs w:val="20"/>
              </w:rPr>
            </w:pPr>
            <w:r>
              <w:rPr>
                <w:rFonts w:hint="eastAsia" w:ascii="宋体" w:hAnsi="宋体" w:eastAsia="宋体"/>
                <w:iCs/>
                <w:sz w:val="20"/>
                <w:szCs w:val="20"/>
              </w:rPr>
              <w:t>研究利用AI构建对校园/医院内广泛的网络设备、服务器、虚拟化平台及核心应用系统的全域监控与智能分析平台。旨在将运维模式从“被动响应”转变为“主动预防”，为业务连续性提供坚实保障。</w:t>
            </w:r>
          </w:p>
        </w:tc>
      </w:tr>
      <w:tr w14:paraId="0D6A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vAlign w:val="center"/>
          </w:tcPr>
          <w:p w14:paraId="438E6DEA">
            <w:pPr>
              <w:spacing w:line="320" w:lineRule="exact"/>
              <w:jc w:val="center"/>
              <w:rPr>
                <w:rFonts w:ascii="宋体" w:hAnsi="宋体" w:eastAsia="宋体"/>
                <w:sz w:val="20"/>
                <w:szCs w:val="20"/>
              </w:rPr>
            </w:pPr>
            <w:r>
              <w:rPr>
                <w:rFonts w:hint="eastAsia" w:ascii="宋体" w:hAnsi="宋体" w:eastAsia="宋体"/>
                <w:sz w:val="20"/>
                <w:szCs w:val="20"/>
              </w:rPr>
              <w:t>C07</w:t>
            </w:r>
          </w:p>
        </w:tc>
        <w:tc>
          <w:tcPr>
            <w:tcW w:w="885" w:type="pct"/>
            <w:vAlign w:val="center"/>
          </w:tcPr>
          <w:p w14:paraId="71A162D5">
            <w:pPr>
              <w:widowControl/>
              <w:spacing w:line="320" w:lineRule="exact"/>
              <w:rPr>
                <w:rFonts w:ascii="宋体" w:hAnsi="宋体" w:eastAsia="宋体"/>
                <w:iCs/>
                <w:sz w:val="20"/>
                <w:szCs w:val="20"/>
              </w:rPr>
            </w:pPr>
            <w:r>
              <w:rPr>
                <w:rFonts w:hint="eastAsia" w:ascii="宋体" w:hAnsi="宋体" w:eastAsia="宋体"/>
                <w:iCs/>
                <w:sz w:val="20"/>
                <w:szCs w:val="20"/>
              </w:rPr>
              <w:t>终端全生命周期精准管控模式研究</w:t>
            </w:r>
          </w:p>
        </w:tc>
        <w:tc>
          <w:tcPr>
            <w:tcW w:w="3554" w:type="pct"/>
            <w:vAlign w:val="center"/>
          </w:tcPr>
          <w:p w14:paraId="2CF2EAF9">
            <w:pPr>
              <w:spacing w:before="31" w:beforeLines="10" w:after="31" w:afterLines="10" w:line="320" w:lineRule="exact"/>
              <w:ind w:firstLine="400" w:firstLineChars="200"/>
              <w:rPr>
                <w:rFonts w:ascii="宋体" w:hAnsi="宋体" w:eastAsia="宋体"/>
                <w:iCs/>
                <w:sz w:val="20"/>
                <w:szCs w:val="20"/>
              </w:rPr>
            </w:pPr>
            <w:r>
              <w:rPr>
                <w:rFonts w:hint="eastAsia" w:ascii="宋体" w:hAnsi="宋体" w:eastAsia="宋体"/>
                <w:iCs/>
                <w:sz w:val="20"/>
                <w:szCs w:val="20"/>
              </w:rPr>
              <w:t>本课题聚焦智慧校园及智慧医院建设中的终端治理难题，研究如何依托统一运维平台构建覆盖全生命周期的终端精准管控体系。重点探索终端资产的智能化发现与台账管理、网络精准准入控制、终端资源统一调度及高效回收机制，旨在实现IT资源全生命周期管理，提升安全防护与资源利用效率。</w:t>
            </w:r>
          </w:p>
        </w:tc>
      </w:tr>
      <w:tr w14:paraId="0454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vAlign w:val="center"/>
          </w:tcPr>
          <w:p w14:paraId="7A1E9CE4">
            <w:pPr>
              <w:spacing w:line="320" w:lineRule="exact"/>
              <w:jc w:val="center"/>
              <w:rPr>
                <w:rFonts w:ascii="宋体" w:hAnsi="宋体" w:eastAsia="宋体"/>
                <w:sz w:val="20"/>
                <w:szCs w:val="20"/>
              </w:rPr>
            </w:pPr>
            <w:r>
              <w:rPr>
                <w:rFonts w:hint="eastAsia" w:ascii="宋体" w:hAnsi="宋体" w:eastAsia="宋体"/>
                <w:sz w:val="20"/>
                <w:szCs w:val="20"/>
              </w:rPr>
              <w:t>C08</w:t>
            </w:r>
          </w:p>
        </w:tc>
        <w:tc>
          <w:tcPr>
            <w:tcW w:w="885" w:type="pct"/>
            <w:vAlign w:val="center"/>
          </w:tcPr>
          <w:p w14:paraId="10F8E6BF">
            <w:pPr>
              <w:widowControl/>
              <w:spacing w:line="320" w:lineRule="exact"/>
              <w:rPr>
                <w:rFonts w:ascii="宋体" w:hAnsi="宋体" w:eastAsia="宋体"/>
                <w:iCs/>
                <w:sz w:val="20"/>
                <w:szCs w:val="20"/>
              </w:rPr>
            </w:pPr>
            <w:r>
              <w:rPr>
                <w:rFonts w:hint="eastAsia" w:ascii="宋体" w:hAnsi="宋体" w:eastAsia="宋体"/>
                <w:iCs/>
                <w:sz w:val="20"/>
                <w:szCs w:val="20"/>
              </w:rPr>
              <w:t>业务连续性端到端可视化保障</w:t>
            </w:r>
          </w:p>
        </w:tc>
        <w:tc>
          <w:tcPr>
            <w:tcW w:w="3554" w:type="pct"/>
            <w:vAlign w:val="center"/>
          </w:tcPr>
          <w:p w14:paraId="1509C330">
            <w:pPr>
              <w:spacing w:before="31" w:beforeLines="10" w:after="31" w:afterLines="10" w:line="320" w:lineRule="exact"/>
              <w:ind w:firstLine="400" w:firstLineChars="200"/>
              <w:rPr>
                <w:rFonts w:ascii="宋体" w:hAnsi="宋体" w:eastAsia="宋体"/>
                <w:iCs/>
                <w:sz w:val="20"/>
                <w:szCs w:val="20"/>
              </w:rPr>
            </w:pPr>
            <w:r>
              <w:rPr>
                <w:rFonts w:hint="eastAsia" w:ascii="宋体" w:hAnsi="宋体" w:eastAsia="宋体"/>
                <w:iCs/>
                <w:sz w:val="20"/>
                <w:szCs w:val="20"/>
              </w:rPr>
              <w:t>本研究聚焦数字化转型背景下业务连续性的核心挑战，面向高校教学科研体系或者医院诊疗服务体系，构建覆盖从终端到核心业务系统的端到端连续性监测与保障体系。</w:t>
            </w:r>
          </w:p>
        </w:tc>
      </w:tr>
    </w:tbl>
    <w:p w14:paraId="6A4CD257">
      <w:pPr>
        <w:widowControl/>
        <w:snapToGrid w:val="0"/>
        <w:spacing w:line="480" w:lineRule="exact"/>
        <w:ind w:firstLine="560" w:firstLineChars="200"/>
        <w:contextualSpacing/>
        <w:outlineLvl w:val="1"/>
        <w:rPr>
          <w:rFonts w:hint="eastAsia" w:ascii="黑体" w:hAnsi="黑体" w:eastAsia="黑体" w:cs="黑体"/>
          <w:b w:val="0"/>
          <w:bCs w:val="0"/>
          <w:iCs/>
          <w:kern w:val="0"/>
          <w:sz w:val="28"/>
          <w:szCs w:val="28"/>
        </w:rPr>
      </w:pPr>
      <w:r>
        <w:rPr>
          <w:rFonts w:hint="eastAsia" w:ascii="黑体" w:hAnsi="黑体" w:eastAsia="黑体" w:cs="黑体"/>
          <w:b w:val="0"/>
          <w:bCs w:val="0"/>
          <w:iCs/>
          <w:kern w:val="0"/>
          <w:sz w:val="28"/>
          <w:szCs w:val="28"/>
        </w:rPr>
        <w:t>二、申报条件和要求</w:t>
      </w:r>
    </w:p>
    <w:p w14:paraId="72870375">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w:t>
      </w:r>
      <w:r>
        <w:rPr>
          <w:rFonts w:asciiTheme="minorEastAsia" w:hAnsiTheme="minorEastAsia" w:eastAsiaTheme="minorEastAsia" w:cstheme="minorEastAsia"/>
          <w:sz w:val="24"/>
          <w:szCs w:val="24"/>
        </w:rPr>
        <w:t>申请人需具备较强科研能力，能够独立开展研究和组织开展研究，在所申报课题</w:t>
      </w:r>
      <w:bookmarkStart w:id="1" w:name="_Hlk183599318"/>
      <w:r>
        <w:rPr>
          <w:rFonts w:asciiTheme="minorEastAsia" w:hAnsiTheme="minorEastAsia" w:eastAsiaTheme="minorEastAsia" w:cstheme="minorEastAsia"/>
          <w:sz w:val="24"/>
          <w:szCs w:val="24"/>
        </w:rPr>
        <w:t>领域</w:t>
      </w:r>
      <w:bookmarkEnd w:id="1"/>
      <w:r>
        <w:rPr>
          <w:rFonts w:asciiTheme="minorEastAsia" w:hAnsiTheme="minorEastAsia" w:eastAsiaTheme="minorEastAsia" w:cstheme="minorEastAsia"/>
          <w:sz w:val="24"/>
          <w:szCs w:val="24"/>
        </w:rPr>
        <w:t>具备一定的研究基础；</w:t>
      </w:r>
      <w:r>
        <w:rPr>
          <w:rFonts w:hint="eastAsia" w:asciiTheme="minorEastAsia" w:hAnsiTheme="minorEastAsia" w:eastAsiaTheme="minorEastAsia" w:cstheme="minorEastAsia"/>
          <w:sz w:val="24"/>
          <w:szCs w:val="24"/>
        </w:rPr>
        <w:t>团队成员在选定的研究课题方向有较好的技术储备，包括与申报课题研究内容相关的研究成果、教材、论文、专利、获奖等。</w:t>
      </w:r>
    </w:p>
    <w:p w14:paraId="4D325225">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团队组成合理，分工明确，数量不少于3人。</w:t>
      </w:r>
    </w:p>
    <w:p w14:paraId="0092F549">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优先支持已开展或制定相关研究计划，致力于数字技术赋能教科研与智慧校园/智慧医疗建设实践、AI 融合的本专科人才培养模式探索、教育与医疗行业数字化转型路径创新的团队。</w:t>
      </w:r>
    </w:p>
    <w:p w14:paraId="72BC5426">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优先支持研究内容有创造性、前瞻性和实用性，有可转化前景的课题。</w:t>
      </w:r>
    </w:p>
    <w:p w14:paraId="086076C9">
      <w:pPr>
        <w:spacing w:line="480" w:lineRule="exact"/>
        <w:ind w:firstLine="480" w:firstLineChars="200"/>
        <w:contextualSpacing/>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5. 优先支持有明确研究成果，成果有应用价值，可复制、可推广的课题。</w:t>
      </w:r>
    </w:p>
    <w:p w14:paraId="2A138EE6">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优先支持研究方向明确，研究内容详实，研究方案完整可行的课题。</w:t>
      </w:r>
    </w:p>
    <w:p w14:paraId="792D3093">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优先支持院校对所申报项目有资金、政策、人员和场地等条件支持的课题。</w:t>
      </w:r>
    </w:p>
    <w:p w14:paraId="02CB6D14">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14FA7A7A">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资助课题项目获得的知识产权由合作方和课题项目承担单位共同所有；</w:t>
      </w:r>
    </w:p>
    <w:p w14:paraId="081DB119">
      <w:pPr>
        <w:spacing w:line="480" w:lineRule="exact"/>
        <w:ind w:firstLine="480" w:firstLineChars="200"/>
        <w:contextualSpacing/>
        <w:rPr>
          <w:rFonts w:eastAsia="PMingLiU" w:asciiTheme="minorEastAsia" w:hAnsiTheme="minorEastAsia" w:cstheme="minorEastAsia"/>
          <w:sz w:val="24"/>
          <w:szCs w:val="24"/>
          <w:lang w:val="zh-TW" w:eastAsia="zh-TW"/>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zh-TW"/>
        </w:rPr>
        <w:t>课题</w:t>
      </w:r>
      <w:r>
        <w:rPr>
          <w:rFonts w:hint="eastAsia" w:asciiTheme="minorEastAsia" w:hAnsiTheme="minorEastAsia" w:eastAsiaTheme="minorEastAsia" w:cstheme="minorEastAsia"/>
          <w:sz w:val="24"/>
          <w:szCs w:val="24"/>
          <w:lang w:val="zh-TW" w:eastAsia="zh-TW"/>
        </w:rPr>
        <w:t>组在项目开展过程中，需具备可独立支配的研究基础软硬件条件</w:t>
      </w:r>
      <w:r>
        <w:rPr>
          <w:rFonts w:hint="eastAsia" w:asciiTheme="minorEastAsia" w:hAnsiTheme="minorEastAsia" w:eastAsiaTheme="minorEastAsia" w:cstheme="minorEastAsia"/>
          <w:sz w:val="24"/>
          <w:szCs w:val="24"/>
          <w:lang w:val="zh-TW"/>
        </w:rPr>
        <w:t>，</w:t>
      </w:r>
      <w:r>
        <w:rPr>
          <w:rFonts w:hint="eastAsia" w:asciiTheme="minorEastAsia" w:hAnsiTheme="minorEastAsia" w:eastAsiaTheme="minorEastAsia" w:cstheme="minorEastAsia"/>
          <w:sz w:val="24"/>
          <w:szCs w:val="24"/>
          <w:lang w:val="zh-TW" w:eastAsia="zh-TW"/>
        </w:rPr>
        <w:t>如需外部资源支持，须在项目申报书中明确指出。</w:t>
      </w:r>
    </w:p>
    <w:p w14:paraId="6874CAF7">
      <w:pPr>
        <w:widowControl/>
        <w:snapToGrid w:val="0"/>
        <w:spacing w:line="480" w:lineRule="exact"/>
        <w:ind w:firstLine="560" w:firstLineChars="200"/>
        <w:contextualSpacing/>
        <w:outlineLvl w:val="1"/>
        <w:rPr>
          <w:rFonts w:hint="eastAsia" w:ascii="黑体" w:hAnsi="黑体" w:eastAsia="黑体" w:cs="黑体"/>
          <w:b w:val="0"/>
          <w:bCs w:val="0"/>
          <w:iCs/>
          <w:kern w:val="0"/>
          <w:sz w:val="28"/>
          <w:szCs w:val="28"/>
        </w:rPr>
      </w:pPr>
      <w:r>
        <w:rPr>
          <w:rFonts w:hint="eastAsia" w:ascii="黑体" w:hAnsi="黑体" w:eastAsia="黑体" w:cs="黑体"/>
          <w:b w:val="0"/>
          <w:bCs w:val="0"/>
          <w:iCs/>
          <w:kern w:val="0"/>
          <w:sz w:val="28"/>
          <w:szCs w:val="28"/>
        </w:rPr>
        <w:t>三、资源及服务</w:t>
      </w:r>
    </w:p>
    <w:p w14:paraId="1DAE4533">
      <w:pPr>
        <w:kinsoku w:val="0"/>
        <w:overflowPunct w:val="0"/>
        <w:autoSpaceDE w:val="0"/>
        <w:autoSpaceDN w:val="0"/>
        <w:adjustRightInd w:val="0"/>
        <w:snapToGrid w:val="0"/>
        <w:spacing w:line="480" w:lineRule="exact"/>
        <w:ind w:firstLine="480" w:firstLineChars="200"/>
        <w:rPr>
          <w:rFonts w:asciiTheme="minorEastAsia" w:hAnsiTheme="minorEastAsia" w:eastAsiaTheme="minorEastAsia" w:cstheme="minorEastAsia"/>
          <w:kern w:val="0"/>
          <w:sz w:val="24"/>
          <w:szCs w:val="24"/>
          <w:highlight w:val="yellow"/>
        </w:rPr>
      </w:pPr>
      <w:r>
        <w:rPr>
          <w:rFonts w:hint="eastAsia" w:asciiTheme="minorEastAsia" w:hAnsiTheme="minorEastAsia" w:eastAsiaTheme="minorEastAsia" w:cstheme="minorEastAsia"/>
          <w:kern w:val="0"/>
          <w:sz w:val="24"/>
          <w:szCs w:val="24"/>
        </w:rPr>
        <w:t>针对入选合作院校，基金将提供完善的资源和服务体系，以保证院校及附属单位顺利开展合作课题，并为院校在</w:t>
      </w:r>
      <w:r>
        <w:rPr>
          <w:rFonts w:hint="eastAsia" w:asciiTheme="minorEastAsia" w:hAnsiTheme="minorEastAsia" w:eastAsiaTheme="minorEastAsia" w:cstheme="minorEastAsia"/>
          <w:sz w:val="24"/>
          <w:szCs w:val="24"/>
        </w:rPr>
        <w:t>高等教育数字创新、职业教育数字创新、数字化转型下智慧新基建领域创新</w:t>
      </w:r>
      <w:r>
        <w:rPr>
          <w:rFonts w:hint="eastAsia" w:asciiTheme="minorEastAsia" w:hAnsiTheme="minorEastAsia" w:eastAsiaTheme="minorEastAsia" w:cstheme="minorEastAsia"/>
          <w:kern w:val="0"/>
          <w:sz w:val="24"/>
          <w:szCs w:val="24"/>
        </w:rPr>
        <w:t>提供有效的支持。</w:t>
      </w:r>
    </w:p>
    <w:p w14:paraId="66571B44">
      <w:pPr>
        <w:widowControl/>
        <w:spacing w:line="48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z w:val="24"/>
          <w:szCs w:val="24"/>
        </w:rPr>
        <w:t>星网锐捷数字教育创新专项</w:t>
      </w:r>
      <w:r>
        <w:rPr>
          <w:rFonts w:hint="eastAsia" w:asciiTheme="minorEastAsia" w:hAnsiTheme="minorEastAsia" w:eastAsiaTheme="minorEastAsia" w:cstheme="minorEastAsia"/>
          <w:kern w:val="0"/>
          <w:sz w:val="24"/>
          <w:szCs w:val="24"/>
        </w:rPr>
        <w:t>”为每个立项课题提供对应的研究经费及科研软硬件平台支持，为申报团队提供创新项目选题指导，并根据需求开展服务校方等工作。</w:t>
      </w:r>
    </w:p>
    <w:p w14:paraId="737528AD">
      <w:pPr>
        <w:widowControl/>
        <w:spacing w:line="48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 </w:t>
      </w:r>
      <w:r>
        <w:rPr>
          <w:rFonts w:hint="eastAsia" w:asciiTheme="minorEastAsia" w:hAnsiTheme="minorEastAsia" w:eastAsiaTheme="minorEastAsia" w:cstheme="minorEastAsia"/>
          <w:sz w:val="24"/>
          <w:szCs w:val="24"/>
        </w:rPr>
        <w:t>基金课题</w:t>
      </w:r>
      <w:r>
        <w:rPr>
          <w:rFonts w:hint="eastAsia" w:asciiTheme="minorEastAsia" w:hAnsiTheme="minorEastAsia" w:eastAsiaTheme="minorEastAsia" w:cstheme="minorEastAsia"/>
          <w:kern w:val="0"/>
          <w:sz w:val="24"/>
          <w:szCs w:val="24"/>
        </w:rPr>
        <w:t>发起单位将辅助、联合申报院校申报新的科研课题，提供项目咨询服务和技术支持，辅助科研成果的快速产品化及解决方案的包装</w:t>
      </w:r>
    </w:p>
    <w:p w14:paraId="38483830">
      <w:pPr>
        <w:widowControl/>
        <w:spacing w:line="500" w:lineRule="exact"/>
        <w:jc w:val="center"/>
        <w:rPr>
          <w:rFonts w:asciiTheme="minorEastAsia" w:hAnsiTheme="minorEastAsia" w:eastAsiaTheme="minorEastAsia" w:cstheme="minorEastAsia"/>
          <w:b/>
          <w:iCs/>
          <w:kern w:val="0"/>
          <w:sz w:val="24"/>
          <w:szCs w:val="24"/>
        </w:rPr>
      </w:pPr>
      <w:bookmarkStart w:id="2" w:name="_Hlk102639735"/>
      <w:r>
        <w:rPr>
          <w:rFonts w:hint="eastAsia" w:asciiTheme="minorEastAsia" w:hAnsiTheme="minorEastAsia" w:eastAsiaTheme="minorEastAsia" w:cstheme="minorEastAsia"/>
          <w:b/>
          <w:iCs/>
          <w:kern w:val="0"/>
          <w:sz w:val="24"/>
          <w:szCs w:val="24"/>
        </w:rPr>
        <w:t>表四 提供给课题研究的软硬件平台说明</w:t>
      </w:r>
    </w:p>
    <w:bookmarkEnd w:id="2"/>
    <w:tbl>
      <w:tblPr>
        <w:tblStyle w:val="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598"/>
        <w:gridCol w:w="6946"/>
      </w:tblGrid>
      <w:tr w14:paraId="325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7" w:type="dxa"/>
            <w:shd w:val="clear" w:color="000000" w:fill="C0C0C0"/>
            <w:vAlign w:val="center"/>
          </w:tcPr>
          <w:p w14:paraId="6A10C9F9">
            <w:pPr>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平台编号</w:t>
            </w:r>
          </w:p>
        </w:tc>
        <w:tc>
          <w:tcPr>
            <w:tcW w:w="1598" w:type="dxa"/>
            <w:shd w:val="clear" w:color="000000" w:fill="C0C0C0"/>
            <w:vAlign w:val="center"/>
          </w:tcPr>
          <w:p w14:paraId="1C95D43B">
            <w:pPr>
              <w:jc w:val="center"/>
              <w:rPr>
                <w:rFonts w:asciiTheme="minorEastAsia" w:hAnsiTheme="minorEastAsia" w:eastAsiaTheme="minorEastAsia"/>
                <w:b/>
                <w:sz w:val="22"/>
              </w:rPr>
            </w:pPr>
            <w:r>
              <w:rPr>
                <w:rFonts w:hint="eastAsia" w:asciiTheme="minorEastAsia" w:hAnsiTheme="minorEastAsia" w:eastAsiaTheme="minorEastAsia"/>
                <w:b/>
                <w:sz w:val="22"/>
              </w:rPr>
              <w:t>技术平台名称</w:t>
            </w:r>
          </w:p>
          <w:p w14:paraId="1107B6D8">
            <w:pPr>
              <w:jc w:val="center"/>
              <w:rPr>
                <w:rFonts w:asciiTheme="minorEastAsia" w:hAnsiTheme="minorEastAsia" w:eastAsiaTheme="minorEastAsia" w:cstheme="minorEastAsia"/>
                <w:b/>
                <w:sz w:val="22"/>
              </w:rPr>
            </w:pPr>
            <w:r>
              <w:rPr>
                <w:rFonts w:hint="eastAsia" w:asciiTheme="minorEastAsia" w:hAnsiTheme="minorEastAsia" w:eastAsiaTheme="minorEastAsia"/>
                <w:b/>
                <w:sz w:val="22"/>
              </w:rPr>
              <w:t>及服务</w:t>
            </w:r>
          </w:p>
        </w:tc>
        <w:tc>
          <w:tcPr>
            <w:tcW w:w="6946" w:type="dxa"/>
            <w:shd w:val="clear" w:color="000000" w:fill="C0C0C0"/>
            <w:vAlign w:val="center"/>
          </w:tcPr>
          <w:p w14:paraId="704F3B20">
            <w:pPr>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详细介绍</w:t>
            </w:r>
          </w:p>
        </w:tc>
      </w:tr>
      <w:tr w14:paraId="3E27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807" w:type="dxa"/>
            <w:vAlign w:val="center"/>
          </w:tcPr>
          <w:p w14:paraId="7B2C2EEC">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D01</w:t>
            </w:r>
          </w:p>
        </w:tc>
        <w:tc>
          <w:tcPr>
            <w:tcW w:w="1598" w:type="dxa"/>
            <w:vAlign w:val="center"/>
          </w:tcPr>
          <w:p w14:paraId="5517CADC">
            <w:pPr>
              <w:spacing w:line="32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MaaS平台</w:t>
            </w:r>
          </w:p>
        </w:tc>
        <w:tc>
          <w:tcPr>
            <w:tcW w:w="6946" w:type="dxa"/>
            <w:vAlign w:val="center"/>
          </w:tcPr>
          <w:p w14:paraId="47F51082">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MaaS平台以“模型即服务，智能即生产力”为核心，提供从模型导入、训练、评测到部署、运维、监控的全链路一站式服务，助力学校高效构建专属大模型能力。</w:t>
            </w:r>
          </w:p>
          <w:p w14:paraId="55FE2F32">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核心能力包括：一站式模型构建与管理（可视化训练、多量化部署、智能运维扩缩容）；私有数据价值挖掘（数据管理、微调增强、精准评测对比）；开放兼容模型生态（支持自研/开源/多模态模型及第三方OpenAI协议模型接入，统一模型广场检索）；校级安全治理（RBAC权限、资源配额管控、操作审计、SSO单点登录）。</w:t>
            </w:r>
          </w:p>
          <w:p w14:paraId="11F761FE">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提供账号和云服务环境。</w:t>
            </w:r>
          </w:p>
        </w:tc>
      </w:tr>
      <w:tr w14:paraId="4431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3AB051CF">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D02</w:t>
            </w:r>
          </w:p>
        </w:tc>
        <w:tc>
          <w:tcPr>
            <w:tcW w:w="1598" w:type="dxa"/>
            <w:vAlign w:val="center"/>
          </w:tcPr>
          <w:p w14:paraId="175333FF">
            <w:pPr>
              <w:spacing w:line="32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智能体开发平台</w:t>
            </w:r>
          </w:p>
        </w:tc>
        <w:tc>
          <w:tcPr>
            <w:tcW w:w="6946" w:type="dxa"/>
            <w:vAlign w:val="center"/>
          </w:tcPr>
          <w:p w14:paraId="6733C025">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高校专属智能体开发平台，支持零代码搭建，提供 Workflow 编排和多 Agent 协作两种核心路径，集成知识库、插件生态、长期记忆及 GraphRAG 技术，兼容多系列大模型，支持灵活私有化部署，可快速集成至各类业务系统，助力学校高效解决 AI 应用落地痛点。</w:t>
            </w:r>
          </w:p>
          <w:p w14:paraId="29D95A20">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提供账号和云服务环境。</w:t>
            </w:r>
          </w:p>
        </w:tc>
      </w:tr>
      <w:tr w14:paraId="2071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3B7ED4FE">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D03</w:t>
            </w:r>
          </w:p>
        </w:tc>
        <w:tc>
          <w:tcPr>
            <w:tcW w:w="1598" w:type="dxa"/>
            <w:vAlign w:val="center"/>
          </w:tcPr>
          <w:p w14:paraId="6FA35F78">
            <w:pPr>
              <w:spacing w:line="32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
                <w:bCs/>
                <w:color w:val="000000" w:themeColor="text1"/>
                <w:sz w:val="20"/>
                <w:szCs w:val="20"/>
                <w:lang w:bidi="ar"/>
                <w14:textFill>
                  <w14:solidFill>
                    <w14:schemeClr w14:val="tx1"/>
                  </w14:solidFill>
                </w14:textFill>
              </w:rPr>
              <w:t>AI Skills</w:t>
            </w:r>
            <w:r>
              <w:rPr>
                <w:rFonts w:asciiTheme="minorEastAsia" w:hAnsiTheme="minorEastAsia" w:eastAsiaTheme="minorEastAsia" w:cstheme="minorEastAsia"/>
                <w:color w:val="000000" w:themeColor="text1"/>
                <w:sz w:val="20"/>
                <w:szCs w:val="20"/>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0"/>
                <w:szCs w:val="20"/>
                <w:lang w:bidi="ar"/>
                <w14:textFill>
                  <w14:solidFill>
                    <w14:schemeClr w14:val="tx1"/>
                  </w14:solidFill>
                </w14:textFill>
              </w:rPr>
              <w:t>（教育）创新创作平台</w:t>
            </w:r>
          </w:p>
        </w:tc>
        <w:tc>
          <w:tcPr>
            <w:tcW w:w="6946" w:type="dxa"/>
            <w:vAlign w:val="center"/>
          </w:tcPr>
          <w:p w14:paraId="4B53CC4E">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面向高等教育、职业教育双赛道打造的一站式AI技能创作与落地平台，依托“教育大模型+智能体+AI Skills”核心架构，整合低代码开发、多模态生成、RAG可信知识库、隐私计算等关键技术，打通教育AI技能从设计、创作到部署、评价的全生命周期管理。</w:t>
            </w:r>
          </w:p>
          <w:p w14:paraId="3C69C32A">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提供账号和云服务环境。</w:t>
            </w:r>
          </w:p>
        </w:tc>
      </w:tr>
      <w:tr w14:paraId="13D3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0F486086">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D04</w:t>
            </w:r>
          </w:p>
        </w:tc>
        <w:tc>
          <w:tcPr>
            <w:tcW w:w="1598" w:type="dxa"/>
            <w:vAlign w:val="center"/>
          </w:tcPr>
          <w:p w14:paraId="2741D939">
            <w:pPr>
              <w:spacing w:line="32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教科研垂直大模型系统</w:t>
            </w:r>
          </w:p>
        </w:tc>
        <w:tc>
          <w:tcPr>
            <w:tcW w:w="6946" w:type="dxa"/>
            <w:vAlign w:val="center"/>
          </w:tcPr>
          <w:p w14:paraId="48BE4526">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rPr>
              <w:t>系统定位：教科研垂直大模型系统深度融合AI技术，联动一站式智能教学工具集，打造覆盖“教、学、研”全流程的教育科研一体化解决方案，核心赋能高校教科研与人才培养工作。</w:t>
            </w:r>
          </w:p>
          <w:p w14:paraId="77AA7BB0">
            <w:p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rPr>
              <w:t>备课工具支撑：配备一站式智能教学工具，包括AI辅助思维导图设计、AI文档与PPT快速生成、上传文档智能解读问答、画布元素AI优化等功能，满足教师多样化教学素材创作与备课需求。</w:t>
            </w:r>
          </w:p>
          <w:p w14:paraId="380F5883">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r>
              <w:rPr>
                <w:rFonts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rPr>
              <w:t>教师端专属功能：提供AI一键建课、智能教学助手、多维度教学画像，助力教师高效搭建课程、精准诊断教学问题；同时支持数字教材的创建、编辑、PDF生成及知识点智能提取。</w:t>
            </w:r>
          </w:p>
          <w:p w14:paraId="6D0199EE">
            <w:p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4.</w:t>
            </w:r>
            <w:r>
              <w:rPr>
                <w:rFonts w:hint="eastAsia" w:asciiTheme="minorEastAsia" w:hAnsiTheme="minorEastAsia" w:eastAsiaTheme="minorEastAsia" w:cstheme="minorEastAsia"/>
                <w:sz w:val="20"/>
                <w:szCs w:val="20"/>
              </w:rPr>
              <w:t>学生端专属功能：打造闯关学习、智能与自主学习路线规划、多维度学习画像、智能学伴四大核心功能，为学生定制个性化学习路径，全面提升学习效果。</w:t>
            </w:r>
          </w:p>
          <w:p w14:paraId="0CCA13A0">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r>
              <w:rPr>
                <w:rFonts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rPr>
              <w:t>垂直大模型与科研专属支撑：内置智慧科研与垂直模型训练模块，为教科研工作者提供专属的科研服务及垂直模型生成支持，完善全流程赋能体系。</w:t>
            </w:r>
          </w:p>
          <w:p w14:paraId="0C395DF1">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提供账号和云服务环境。</w:t>
            </w:r>
          </w:p>
        </w:tc>
      </w:tr>
      <w:tr w14:paraId="7B01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16478F46">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D05</w:t>
            </w:r>
          </w:p>
        </w:tc>
        <w:tc>
          <w:tcPr>
            <w:tcW w:w="1598" w:type="dxa"/>
            <w:vAlign w:val="center"/>
          </w:tcPr>
          <w:p w14:paraId="60236247">
            <w:pPr>
              <w:spacing w:line="32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智慧课程系统</w:t>
            </w:r>
          </w:p>
        </w:tc>
        <w:tc>
          <w:tcPr>
            <w:tcW w:w="6946" w:type="dxa"/>
            <w:vAlign w:val="center"/>
          </w:tcPr>
          <w:p w14:paraId="72A65F97">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智慧课程系统深度融合 AI 技术，构建集智慧教学、学生个性化学习于一体的全流程教育一体化解决方案。针对教师端，提供 AI 一键超级建课、智能教学助手与多维度教学画像，助力高效搭建课程体系、精准诊断教学问题并提升教学能力；针对学生端，打造闯关学习、智能与自主学习路线规划、多维度学习画像及智能学伴功能，实现个性化学习路径定制与学习效果的全面提升。</w:t>
            </w:r>
          </w:p>
          <w:p w14:paraId="0F4C7F48">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提供账号和云服务环境。</w:t>
            </w:r>
          </w:p>
        </w:tc>
      </w:tr>
      <w:tr w14:paraId="4B3B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25CED178">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D06</w:t>
            </w:r>
          </w:p>
        </w:tc>
        <w:tc>
          <w:tcPr>
            <w:tcW w:w="1598" w:type="dxa"/>
            <w:vAlign w:val="center"/>
          </w:tcPr>
          <w:p w14:paraId="7DC9D277">
            <w:pPr>
              <w:spacing w:line="32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数字教材系统</w:t>
            </w:r>
          </w:p>
        </w:tc>
        <w:tc>
          <w:tcPr>
            <w:tcW w:w="6946" w:type="dxa"/>
            <w:vAlign w:val="center"/>
          </w:tcPr>
          <w:p w14:paraId="58FA72DA">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提供数字教材建设和管理平台，</w:t>
            </w:r>
            <w:r>
              <w:rPr>
                <w:rFonts w:asciiTheme="minorEastAsia" w:hAnsiTheme="minorEastAsia" w:eastAsiaTheme="minorEastAsia" w:cstheme="minorEastAsia"/>
                <w:sz w:val="20"/>
                <w:szCs w:val="20"/>
              </w:rPr>
              <w:t>以“内容结构化、教学智能化、数据可视化”</w:t>
            </w:r>
            <w:r>
              <w:rPr>
                <w:rFonts w:cs="Segoe UI" w:asciiTheme="minorEastAsia" w:hAnsiTheme="minorEastAsia" w:eastAsiaTheme="minorEastAsia"/>
                <w:color w:val="0F1115"/>
                <w:sz w:val="20"/>
                <w:szCs w:val="20"/>
                <w:shd w:val="clear" w:color="auto" w:fill="FFFFFF"/>
              </w:rPr>
              <w:t xml:space="preserve"> </w:t>
            </w:r>
            <w:r>
              <w:rPr>
                <w:rFonts w:asciiTheme="minorEastAsia" w:hAnsiTheme="minorEastAsia" w:eastAsiaTheme="minorEastAsia" w:cstheme="minorEastAsia"/>
                <w:sz w:val="20"/>
                <w:szCs w:val="20"/>
              </w:rPr>
              <w:t>为院校、教师、学生提供新一代教材数字化生产、管理与应用</w:t>
            </w:r>
            <w:r>
              <w:rPr>
                <w:rFonts w:hint="eastAsia" w:asciiTheme="minorEastAsia" w:hAnsiTheme="minorEastAsia" w:eastAsiaTheme="minorEastAsia" w:cstheme="minorEastAsia"/>
                <w:sz w:val="20"/>
                <w:szCs w:val="20"/>
              </w:rPr>
              <w:t>模块，平台提供内容编辑与发布、智能出版与版权管理、智能教学应用、学情分析与教学诊断等功能场景。</w:t>
            </w:r>
          </w:p>
          <w:p w14:paraId="0A0703F3">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提供账号和云服务环境。</w:t>
            </w:r>
          </w:p>
        </w:tc>
      </w:tr>
      <w:tr w14:paraId="13CD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62981EF0">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D07</w:t>
            </w:r>
          </w:p>
        </w:tc>
        <w:tc>
          <w:tcPr>
            <w:tcW w:w="1598" w:type="dxa"/>
            <w:vAlign w:val="center"/>
          </w:tcPr>
          <w:p w14:paraId="319890E5">
            <w:pPr>
              <w:widowControl/>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具身智能实训平台</w:t>
            </w:r>
          </w:p>
        </w:tc>
        <w:tc>
          <w:tcPr>
            <w:tcW w:w="6946" w:type="dxa"/>
            <w:vAlign w:val="center"/>
          </w:tcPr>
          <w:p w14:paraId="7A68A723">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产业应用型AI人才培养平台，以AI 智能体 + 具身智能实训体系</w:t>
            </w:r>
            <w:r>
              <w:rPr>
                <w:rFonts w:asciiTheme="minorEastAsia" w:hAnsiTheme="minorEastAsia" w:eastAsiaTheme="minorEastAsia" w:cstheme="minorEastAsia"/>
                <w:sz w:val="20"/>
                <w:szCs w:val="20"/>
              </w:rPr>
              <w:t>为核心，构建五大核心认证方向与四级分级认证体系，涵盖提示词工程、智能体开发、具身智能全流程等实训内容，配套课程资源、硬件方案与自动评测系统，助力培养满足企业需求的实战型 AI 人才。</w:t>
            </w:r>
          </w:p>
          <w:p w14:paraId="7045332C">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提供账号和云服务环境。</w:t>
            </w:r>
          </w:p>
        </w:tc>
      </w:tr>
      <w:tr w14:paraId="504B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1DCCADC6">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D08</w:t>
            </w:r>
          </w:p>
        </w:tc>
        <w:tc>
          <w:tcPr>
            <w:tcW w:w="1598" w:type="dxa"/>
            <w:vAlign w:val="center"/>
          </w:tcPr>
          <w:p w14:paraId="0E6EB322">
            <w:pPr>
              <w:widowControl/>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人工智能通识教育与实训平台</w:t>
            </w:r>
          </w:p>
        </w:tc>
        <w:tc>
          <w:tcPr>
            <w:tcW w:w="6946" w:type="dxa"/>
            <w:vAlign w:val="center"/>
          </w:tcPr>
          <w:p w14:paraId="3CD9B620">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面向高校、企业与开发者的智能教研与项目实训平台，融合大模型与Al Agent技术,构建“学-练-评-用”一体化实战环境。平台支持线下实验、Web实验、Jupvter实验和Agent实验等多种类型，适配不同教学场景。面向中高职和本科专业，平台已建设丰富的A1实践案例资源和体系化核心课程，涵盖云计算、大数据、人工智能、新商科等专业方向。依托智能实验推荐、一句话生成实验内容、自动评测等功能，平台实现教研效率10倍提升，助力院校构建AI赋能专业体系，加速产教融合与人才培养。</w:t>
            </w:r>
          </w:p>
          <w:p w14:paraId="4EC66071">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提供账号和云服务环境。</w:t>
            </w:r>
          </w:p>
        </w:tc>
      </w:tr>
      <w:tr w14:paraId="7C41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69564624">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D09</w:t>
            </w:r>
          </w:p>
        </w:tc>
        <w:tc>
          <w:tcPr>
            <w:tcW w:w="1598" w:type="dxa"/>
            <w:vAlign w:val="center"/>
          </w:tcPr>
          <w:p w14:paraId="1973F6E6">
            <w:pPr>
              <w:spacing w:line="32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智慧教师（教学）档案袋系统</w:t>
            </w:r>
          </w:p>
        </w:tc>
        <w:tc>
          <w:tcPr>
            <w:tcW w:w="6946" w:type="dxa"/>
            <w:vAlign w:val="center"/>
          </w:tcPr>
          <w:p w14:paraId="243B79B3">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bidi="ar"/>
              </w:rPr>
              <w:t>提供智慧教师（教学）档案袋系统，以教师教学档案袋为核心，同步涵盖培训、科研、竞赛等多元档案内容；能搭建教师（教学）评价体系，助力学校落地多层级联动的教师教学档案袋制度；可构建 “实践→反思→调整→再实践” 的成长闭环，增强教师自我反思与主动发展意识；还提供个性化档案设计空间，提升教师在教育教学、科研等领域的创新能力；同时依托 AI 全过程赋能，推动档案袋从“静态材料”向“动态成长平台”转型，切实践行教育数字化转型战略。</w:t>
            </w:r>
          </w:p>
          <w:p w14:paraId="7B143954">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提供账号和云服务环境。</w:t>
            </w:r>
          </w:p>
        </w:tc>
      </w:tr>
      <w:tr w14:paraId="0224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71D2DD53">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D10</w:t>
            </w:r>
          </w:p>
        </w:tc>
        <w:tc>
          <w:tcPr>
            <w:tcW w:w="1598" w:type="dxa"/>
            <w:vAlign w:val="center"/>
          </w:tcPr>
          <w:p w14:paraId="26C44CE3">
            <w:pPr>
              <w:widowControl/>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AI 教学质量评价系统</w:t>
            </w:r>
          </w:p>
        </w:tc>
        <w:tc>
          <w:tcPr>
            <w:tcW w:w="6946" w:type="dxa"/>
            <w:vAlign w:val="center"/>
          </w:tcPr>
          <w:p w14:paraId="16828EFF">
            <w:pPr>
              <w:widowControl/>
              <w:spacing w:line="320" w:lineRule="exact"/>
              <w:ind w:firstLine="400"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sz w:val="20"/>
                <w:szCs w:val="20"/>
                <w:lang w:bidi="ar"/>
              </w:rPr>
              <w:t>依托五级（数据电子化、流程自动化、分析关联化、干预智能化、生态闭环化）成熟度构建代际优势，通过多模态数据采集、多智能体协同分析，实现教学全过程监测与 “评价 - 诊断 - 干预 - 改进” 的生态闭环，生成可视化报告和个性化优化建议，兼容现有业务系统，全方位赋能教师、学生及各级教学管理者，助力教学评价从经验导向转向智能驱动。</w:t>
            </w:r>
          </w:p>
          <w:p w14:paraId="5160A4BA">
            <w:pPr>
              <w:widowControl/>
              <w:spacing w:line="320" w:lineRule="exact"/>
              <w:ind w:firstLine="400"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sz w:val="20"/>
                <w:szCs w:val="20"/>
              </w:rPr>
              <w:t>提供账号和云服务环境。</w:t>
            </w:r>
          </w:p>
        </w:tc>
      </w:tr>
      <w:tr w14:paraId="2F00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123CF0E2">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D11</w:t>
            </w:r>
          </w:p>
        </w:tc>
        <w:tc>
          <w:tcPr>
            <w:tcW w:w="1598" w:type="dxa"/>
            <w:vAlign w:val="center"/>
          </w:tcPr>
          <w:p w14:paraId="7D8D064F">
            <w:pPr>
              <w:widowControl/>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IT综合管理平台</w:t>
            </w:r>
          </w:p>
        </w:tc>
        <w:tc>
          <w:tcPr>
            <w:tcW w:w="6946" w:type="dxa"/>
            <w:vAlign w:val="center"/>
          </w:tcPr>
          <w:p w14:paraId="281AA172">
            <w:pPr>
              <w:widowControl/>
              <w:spacing w:line="320" w:lineRule="exact"/>
              <w:ind w:firstLine="400"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sz w:val="20"/>
                <w:szCs w:val="20"/>
                <w:lang w:bidi="ar"/>
              </w:rPr>
              <w:t>面向医疗、教育、企业等场景，整合全栈工具、云端值守和专家分析，提供持续主动式服务。支持全域资源的统一监控，可实现交换机、路由器、WLAN、服务器、光设备以及服务器操作系统的统一管理。</w:t>
            </w:r>
          </w:p>
          <w:p w14:paraId="1192B48D">
            <w:pPr>
              <w:widowControl/>
              <w:spacing w:line="320" w:lineRule="exact"/>
              <w:ind w:firstLine="400"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sz w:val="20"/>
                <w:szCs w:val="20"/>
                <w:lang w:bidi="ar"/>
              </w:rPr>
              <w:t>对IT资源进行全面、深度的健康检查，自动识别、分析、处理风险隐患，最终实现保障网络和业务持续的稳定运行。</w:t>
            </w:r>
          </w:p>
        </w:tc>
      </w:tr>
      <w:tr w14:paraId="261F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09CAF555">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D12</w:t>
            </w:r>
          </w:p>
        </w:tc>
        <w:tc>
          <w:tcPr>
            <w:tcW w:w="1598" w:type="dxa"/>
            <w:vAlign w:val="center"/>
          </w:tcPr>
          <w:p w14:paraId="4D14EAFA">
            <w:pPr>
              <w:widowControl/>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终端安全智能准入与身份安全智能准入</w:t>
            </w:r>
          </w:p>
        </w:tc>
        <w:tc>
          <w:tcPr>
            <w:tcW w:w="6946" w:type="dxa"/>
            <w:vAlign w:val="center"/>
          </w:tcPr>
          <w:p w14:paraId="371EF6A6">
            <w:pPr>
              <w:widowControl/>
              <w:spacing w:line="320" w:lineRule="exact"/>
              <w:ind w:firstLine="400" w:firstLineChars="200"/>
              <w:rPr>
                <w:rFonts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sz w:val="20"/>
                <w:szCs w:val="20"/>
                <w:lang w:bidi="ar"/>
              </w:rPr>
              <w:t>可部署实施于高校、医疗等行业的内外网环境，提供终端自动发现、终端智能识别、黑白名单检查、终端准入控制、实名身份认证、上网权限控制等核心功能。</w:t>
            </w:r>
          </w:p>
        </w:tc>
      </w:tr>
      <w:tr w14:paraId="5ACC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2F281A75">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D13</w:t>
            </w:r>
          </w:p>
        </w:tc>
        <w:tc>
          <w:tcPr>
            <w:tcW w:w="1598" w:type="dxa"/>
            <w:vAlign w:val="center"/>
          </w:tcPr>
          <w:p w14:paraId="0CCA03B4">
            <w:pPr>
              <w:widowControl/>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“一朵云”</w:t>
            </w:r>
            <w:r>
              <w:rPr>
                <w:rFonts w:asciiTheme="minorEastAsia" w:hAnsiTheme="minorEastAsia" w:eastAsiaTheme="minorEastAsia" w:cstheme="minorEastAsia"/>
                <w:sz w:val="20"/>
                <w:szCs w:val="20"/>
              </w:rPr>
              <w:t>管理软件</w:t>
            </w:r>
          </w:p>
        </w:tc>
        <w:tc>
          <w:tcPr>
            <w:tcW w:w="6946" w:type="dxa"/>
            <w:vAlign w:val="center"/>
          </w:tcPr>
          <w:p w14:paraId="00B55094">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asciiTheme="minorEastAsia" w:hAnsiTheme="minorEastAsia" w:eastAsiaTheme="minorEastAsia" w:cstheme="minorEastAsia"/>
                <w:sz w:val="20"/>
                <w:szCs w:val="20"/>
              </w:rPr>
              <w:t>桌面一朵云，千端统一纳管</w:t>
            </w:r>
            <w:r>
              <w:rPr>
                <w:rFonts w:hint="eastAsia" w:asciiTheme="minorEastAsia" w:hAnsiTheme="minorEastAsia" w:eastAsiaTheme="minorEastAsia" w:cstheme="minorEastAsia"/>
                <w:sz w:val="20"/>
                <w:szCs w:val="20"/>
              </w:rPr>
              <w:t>。</w:t>
            </w:r>
          </w:p>
          <w:p w14:paraId="01D3BC86">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r>
              <w:rPr>
                <w:rFonts w:asciiTheme="minorEastAsia" w:hAnsiTheme="minorEastAsia" w:eastAsiaTheme="minorEastAsia" w:cstheme="minorEastAsia"/>
                <w:sz w:val="20"/>
                <w:szCs w:val="20"/>
              </w:rPr>
              <w:t>.统一镜像管理，分秒部署云桌面</w:t>
            </w:r>
            <w:r>
              <w:rPr>
                <w:rFonts w:hint="eastAsia" w:asciiTheme="minorEastAsia" w:hAnsiTheme="minorEastAsia" w:eastAsiaTheme="minorEastAsia" w:cstheme="minorEastAsia"/>
                <w:sz w:val="20"/>
                <w:szCs w:val="20"/>
              </w:rPr>
              <w:t>。</w:t>
            </w:r>
          </w:p>
          <w:p w14:paraId="624EC4BD">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r>
              <w:rPr>
                <w:rFonts w:asciiTheme="minorEastAsia" w:hAnsiTheme="minorEastAsia" w:eastAsiaTheme="minorEastAsia" w:cstheme="minorEastAsia"/>
                <w:sz w:val="20"/>
                <w:szCs w:val="20"/>
              </w:rPr>
              <w:t xml:space="preserve">统一云管理，简易运维工具，时效提升95% </w:t>
            </w:r>
            <w:r>
              <w:rPr>
                <w:rFonts w:hint="eastAsia" w:asciiTheme="minorEastAsia" w:hAnsiTheme="minorEastAsia" w:eastAsiaTheme="minorEastAsia" w:cstheme="minorEastAsia"/>
                <w:sz w:val="20"/>
                <w:szCs w:val="20"/>
              </w:rPr>
              <w:t>。</w:t>
            </w:r>
          </w:p>
        </w:tc>
      </w:tr>
      <w:tr w14:paraId="1818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27ABEBE6">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D14</w:t>
            </w:r>
          </w:p>
        </w:tc>
        <w:tc>
          <w:tcPr>
            <w:tcW w:w="1598" w:type="dxa"/>
            <w:vAlign w:val="center"/>
          </w:tcPr>
          <w:p w14:paraId="5174CD9B">
            <w:pPr>
              <w:widowControl/>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统一网络中心</w:t>
            </w:r>
          </w:p>
        </w:tc>
        <w:tc>
          <w:tcPr>
            <w:tcW w:w="6946" w:type="dxa"/>
            <w:vAlign w:val="center"/>
          </w:tcPr>
          <w:p w14:paraId="0346A6DF">
            <w:pPr>
              <w:widowControl/>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整网拓扑可视化、光链接AI诊断、电子位图定位、设备盲插替换等，实现全流程智能高效运维。</w:t>
            </w:r>
          </w:p>
          <w:p w14:paraId="473DDDE3">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rPr>
              <w:t>整网拓扑可视化，全局监控节点状态与流量，秒级定位故障</w:t>
            </w:r>
            <w:r>
              <w:rPr>
                <w:rFonts w:asciiTheme="minorEastAsia" w:hAnsiTheme="minorEastAsia" w:eastAsiaTheme="minorEastAsia" w:cstheme="minorEastAsia"/>
                <w:sz w:val="20"/>
                <w:szCs w:val="20"/>
              </w:rPr>
              <w:t>。</w:t>
            </w:r>
          </w:p>
          <w:p w14:paraId="7B4F2085">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r>
              <w:rPr>
                <w:rFonts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rPr>
              <w:t>电子位图集成CAD图纸，故障时精准标识至机柜单元，支持3D视图快速定位。</w:t>
            </w:r>
          </w:p>
          <w:p w14:paraId="787A146D">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r>
              <w:rPr>
                <w:rFonts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rPr>
              <w:t>光链路AI诊断远程分析光功率等指标，智能判断故障原因，定位时间从小时级降至秒级。</w:t>
            </w:r>
          </w:p>
          <w:p w14:paraId="56C0C387">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r>
              <w:rPr>
                <w:rFonts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rPr>
              <w:t>设备盲插替换自动同步配置，5分钟内完成更换，操作简易如换灯泡。</w:t>
            </w:r>
          </w:p>
          <w:p w14:paraId="3C8CA59B">
            <w:pPr>
              <w:widowControl/>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智能运维闭环整合故障定界、诊断、定位与恢复，实现全流程自动化管理，提升运维效率</w:t>
            </w:r>
            <w:r>
              <w:rPr>
                <w:rFonts w:asciiTheme="minorEastAsia" w:hAnsiTheme="minorEastAsia" w:eastAsiaTheme="minorEastAsia" w:cstheme="minorEastAsia"/>
                <w:sz w:val="20"/>
                <w:szCs w:val="20"/>
              </w:rPr>
              <w:t>。</w:t>
            </w:r>
          </w:p>
        </w:tc>
      </w:tr>
    </w:tbl>
    <w:p w14:paraId="18E84F92">
      <w:pPr>
        <w:rPr>
          <w:rFonts w:eastAsia="PMingLiU" w:asciiTheme="minorEastAsia" w:hAnsiTheme="minorEastAsia" w:cstheme="minorEastAsia"/>
          <w:sz w:val="24"/>
          <w:szCs w:val="24"/>
          <w:lang w:val="zh-TW" w:eastAsia="zh-TW"/>
        </w:rPr>
      </w:pPr>
    </w:p>
    <w:p w14:paraId="0598E68E">
      <w:pPr>
        <w:widowControl/>
        <w:snapToGrid w:val="0"/>
        <w:spacing w:line="480" w:lineRule="exact"/>
        <w:ind w:firstLine="560" w:firstLineChars="200"/>
        <w:contextualSpacing/>
        <w:outlineLvl w:val="1"/>
        <w:rPr>
          <w:rFonts w:hint="eastAsia" w:ascii="黑体" w:hAnsi="黑体" w:eastAsia="黑体" w:cs="黑体"/>
          <w:b w:val="0"/>
          <w:bCs w:val="0"/>
          <w:iCs/>
          <w:kern w:val="0"/>
          <w:sz w:val="28"/>
          <w:szCs w:val="28"/>
        </w:rPr>
      </w:pPr>
      <w:r>
        <w:rPr>
          <w:rFonts w:hint="eastAsia" w:ascii="黑体" w:hAnsi="黑体" w:eastAsia="黑体" w:cs="黑体"/>
          <w:b w:val="0"/>
          <w:bCs w:val="0"/>
          <w:iCs/>
          <w:kern w:val="0"/>
          <w:sz w:val="28"/>
          <w:szCs w:val="28"/>
        </w:rPr>
        <w:t>四、课题申报说明</w:t>
      </w:r>
    </w:p>
    <w:p w14:paraId="024E1D51">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1. 申请人须仔细阅读申请指南，按照指南详细填写申请书，填写不合要求的课题会按照格式不符合要求处理。</w:t>
      </w:r>
    </w:p>
    <w:p w14:paraId="42BA4CB7">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2. 请各课题申请人按要求填写申请书（申请书中手机和邮箱必须填写），加盖公章及签字后扫描上传至：</w:t>
      </w:r>
      <w:r>
        <w:rPr>
          <w:rFonts w:hint="eastAsia" w:asciiTheme="minorEastAsia" w:hAnsiTheme="minorEastAsia" w:eastAsiaTheme="minorEastAsia" w:cstheme="minorEastAsia"/>
          <w:b/>
          <w:iCs/>
          <w:kern w:val="0"/>
          <w:sz w:val="24"/>
          <w:szCs w:val="24"/>
        </w:rPr>
        <w:t>https://cxjj.cutech.edu.cn</w:t>
      </w:r>
      <w:r>
        <w:rPr>
          <w:rFonts w:hint="eastAsia" w:asciiTheme="minorEastAsia" w:hAnsiTheme="minorEastAsia" w:eastAsiaTheme="minorEastAsia" w:cstheme="minorEastAsia"/>
          <w:iCs/>
          <w:kern w:val="0"/>
          <w:sz w:val="24"/>
          <w:szCs w:val="24"/>
        </w:rPr>
        <w:t>；为方便评审，申请书扫描件请按以下命名规则命名：学校名称+申请人姓名。</w:t>
      </w:r>
    </w:p>
    <w:p w14:paraId="7FCFDDBD">
      <w:pPr>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3</w:t>
      </w:r>
      <w:r>
        <w:rPr>
          <w:rFonts w:asciiTheme="minorEastAsia" w:hAnsiTheme="minorEastAsia" w:eastAsiaTheme="minorEastAsia" w:cstheme="minorEastAsia"/>
          <w:iCs/>
          <w:kern w:val="0"/>
          <w:sz w:val="24"/>
          <w:szCs w:val="24"/>
        </w:rPr>
        <w:t xml:space="preserve">. </w:t>
      </w:r>
      <w:r>
        <w:rPr>
          <w:rFonts w:hint="eastAsia" w:asciiTheme="minorEastAsia" w:hAnsiTheme="minorEastAsia" w:eastAsiaTheme="minorEastAsia" w:cstheme="minorEastAsia"/>
          <w:iCs/>
          <w:kern w:val="0"/>
          <w:sz w:val="24"/>
          <w:szCs w:val="24"/>
        </w:rPr>
        <w:t>申请书书面材料一份，邮寄至：北京市海淀区中关村大街35号80</w:t>
      </w:r>
      <w:r>
        <w:rPr>
          <w:rFonts w:asciiTheme="minorEastAsia" w:hAnsiTheme="minorEastAsia" w:eastAsiaTheme="minorEastAsia" w:cstheme="minorEastAsia"/>
          <w:iCs/>
          <w:kern w:val="0"/>
          <w:sz w:val="24"/>
          <w:szCs w:val="24"/>
        </w:rPr>
        <w:t>3</w:t>
      </w:r>
      <w:r>
        <w:rPr>
          <w:rFonts w:hint="eastAsia" w:asciiTheme="minorEastAsia" w:hAnsiTheme="minorEastAsia" w:eastAsiaTheme="minorEastAsia" w:cstheme="minorEastAsia"/>
          <w:iCs/>
          <w:kern w:val="0"/>
          <w:sz w:val="24"/>
          <w:szCs w:val="24"/>
        </w:rPr>
        <w:t>室，教育部高等学校科学研究发展中心信息化研究发展处。</w:t>
      </w:r>
    </w:p>
    <w:p w14:paraId="331C8D00">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4</w:t>
      </w:r>
      <w:r>
        <w:rPr>
          <w:rFonts w:asciiTheme="minorEastAsia" w:hAnsiTheme="minorEastAsia" w:eastAsiaTheme="minorEastAsia" w:cstheme="minorEastAsia"/>
          <w:iCs/>
          <w:kern w:val="0"/>
          <w:sz w:val="24"/>
          <w:szCs w:val="24"/>
        </w:rPr>
        <w:t xml:space="preserve">. </w:t>
      </w:r>
      <w:r>
        <w:rPr>
          <w:rFonts w:hint="eastAsia" w:asciiTheme="minorEastAsia" w:hAnsiTheme="minorEastAsia" w:eastAsiaTheme="minorEastAsia" w:cstheme="minorEastAsia"/>
          <w:iCs/>
          <w:kern w:val="0"/>
          <w:sz w:val="24"/>
          <w:szCs w:val="24"/>
        </w:rPr>
        <w:t>申请截止时间为2026年</w:t>
      </w:r>
      <w:r>
        <w:rPr>
          <w:rFonts w:asciiTheme="minorEastAsia" w:hAnsiTheme="minorEastAsia" w:eastAsiaTheme="minorEastAsia" w:cstheme="minorEastAsia"/>
          <w:iCs/>
          <w:kern w:val="0"/>
          <w:sz w:val="24"/>
          <w:szCs w:val="24"/>
        </w:rPr>
        <w:t>9</w:t>
      </w:r>
      <w:r>
        <w:rPr>
          <w:rFonts w:hint="eastAsia" w:asciiTheme="minorEastAsia" w:hAnsiTheme="minorEastAsia" w:eastAsiaTheme="minorEastAsia" w:cstheme="minorEastAsia"/>
          <w:iCs/>
          <w:kern w:val="0"/>
          <w:sz w:val="24"/>
          <w:szCs w:val="24"/>
        </w:rPr>
        <w:t>月</w:t>
      </w:r>
      <w:r>
        <w:rPr>
          <w:rFonts w:asciiTheme="minorEastAsia" w:hAnsiTheme="minorEastAsia" w:eastAsiaTheme="minorEastAsia" w:cstheme="minorEastAsia"/>
          <w:iCs/>
          <w:kern w:val="0"/>
          <w:sz w:val="24"/>
          <w:szCs w:val="24"/>
        </w:rPr>
        <w:t>15</w:t>
      </w:r>
      <w:r>
        <w:rPr>
          <w:rFonts w:hint="eastAsia" w:asciiTheme="minorEastAsia" w:hAnsiTheme="minorEastAsia" w:eastAsiaTheme="minorEastAsia" w:cstheme="minorEastAsia"/>
          <w:iCs/>
          <w:kern w:val="0"/>
          <w:sz w:val="24"/>
          <w:szCs w:val="24"/>
        </w:rPr>
        <w:t>日。</w:t>
      </w:r>
    </w:p>
    <w:p w14:paraId="67E64865">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asciiTheme="minorEastAsia" w:hAnsiTheme="minorEastAsia" w:eastAsiaTheme="minorEastAsia" w:cstheme="minorEastAsia"/>
          <w:iCs/>
          <w:kern w:val="0"/>
          <w:sz w:val="24"/>
          <w:szCs w:val="24"/>
        </w:rPr>
        <w:t>5</w:t>
      </w:r>
      <w:r>
        <w:rPr>
          <w:rFonts w:hint="eastAsia" w:asciiTheme="minorEastAsia" w:hAnsiTheme="minorEastAsia" w:eastAsiaTheme="minorEastAsia" w:cstheme="minorEastAsia"/>
          <w:iCs/>
          <w:kern w:val="0"/>
          <w:sz w:val="24"/>
          <w:szCs w:val="24"/>
        </w:rPr>
        <w:t>. 课题的计划执行时间为</w:t>
      </w:r>
      <w:r>
        <w:rPr>
          <w:rFonts w:hint="eastAsia" w:asciiTheme="minorEastAsia" w:hAnsiTheme="minorEastAsia" w:eastAsiaTheme="minorEastAsia" w:cstheme="minorEastAsia"/>
          <w:sz w:val="24"/>
          <w:szCs w:val="24"/>
        </w:rPr>
        <w:t>2026年12月</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日～2027年</w:t>
      </w:r>
      <w:r>
        <w:rPr>
          <w:rFonts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iCs/>
          <w:kern w:val="0"/>
          <w:sz w:val="24"/>
          <w:szCs w:val="24"/>
        </w:rPr>
        <w:t>，可根据课题复杂程度适度延长执行周期，根据课题实际情况协商，</w:t>
      </w:r>
      <w:r>
        <w:rPr>
          <w:rFonts w:hint="eastAsia" w:asciiTheme="minorEastAsia" w:hAnsiTheme="minorEastAsia" w:eastAsiaTheme="minorEastAsia" w:cstheme="minorEastAsia"/>
          <w:sz w:val="24"/>
          <w:szCs w:val="24"/>
        </w:rPr>
        <w:t>最长不超过两年</w:t>
      </w:r>
      <w:r>
        <w:rPr>
          <w:rFonts w:hint="eastAsia" w:asciiTheme="minorEastAsia" w:hAnsiTheme="minorEastAsia" w:eastAsiaTheme="minorEastAsia" w:cstheme="minorEastAsia"/>
          <w:iCs/>
          <w:kern w:val="0"/>
          <w:sz w:val="24"/>
          <w:szCs w:val="24"/>
        </w:rPr>
        <w:t>。</w:t>
      </w:r>
    </w:p>
    <w:p w14:paraId="73E439E4">
      <w:pPr>
        <w:kinsoku w:val="0"/>
        <w:overflowPunct w:val="0"/>
        <w:autoSpaceDE w:val="0"/>
        <w:autoSpaceDN w:val="0"/>
        <w:snapToGrid w:val="0"/>
        <w:spacing w:line="480" w:lineRule="exact"/>
        <w:ind w:firstLine="480" w:firstLineChars="200"/>
        <w:contextualSpacing/>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iCs/>
          <w:kern w:val="0"/>
          <w:sz w:val="24"/>
          <w:szCs w:val="24"/>
        </w:rPr>
        <w:t>6</w:t>
      </w:r>
      <w:r>
        <w:rPr>
          <w:rFonts w:hint="eastAsia" w:asciiTheme="minorEastAsia" w:hAnsiTheme="minorEastAsia" w:eastAsiaTheme="minorEastAsia" w:cstheme="minorEastAsia"/>
          <w:iCs/>
          <w:kern w:val="0"/>
          <w:sz w:val="24"/>
          <w:szCs w:val="24"/>
        </w:rPr>
        <w:t>.</w:t>
      </w:r>
      <w:r>
        <w:rPr>
          <w:rFonts w:hint="eastAsia" w:asciiTheme="minorEastAsia" w:hAnsiTheme="minorEastAsia" w:eastAsiaTheme="minorEastAsia" w:cstheme="minorEastAsia"/>
          <w:sz w:val="24"/>
          <w:szCs w:val="24"/>
        </w:rPr>
        <w:t xml:space="preserve"> 每位申报人限报一项课题。</w:t>
      </w:r>
    </w:p>
    <w:p w14:paraId="5CE91C07">
      <w:pPr>
        <w:kinsoku w:val="0"/>
        <w:overflowPunct w:val="0"/>
        <w:autoSpaceDE w:val="0"/>
        <w:autoSpaceDN w:val="0"/>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59F323DA">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asciiTheme="minorEastAsia" w:hAnsiTheme="minorEastAsia" w:eastAsiaTheme="minorEastAsia" w:cstheme="minorEastAsia"/>
          <w:iCs/>
          <w:kern w:val="0"/>
          <w:sz w:val="24"/>
          <w:szCs w:val="24"/>
        </w:rPr>
        <w:t>8</w:t>
      </w:r>
      <w:r>
        <w:rPr>
          <w:rFonts w:hint="eastAsia" w:asciiTheme="minorEastAsia" w:hAnsiTheme="minorEastAsia" w:eastAsiaTheme="minorEastAsia" w:cstheme="minorEastAsia"/>
          <w:iCs/>
          <w:kern w:val="0"/>
          <w:sz w:val="24"/>
          <w:szCs w:val="24"/>
        </w:rPr>
        <w:t>. 如果以联合课题组的形式申请课题，需要列明不同学校单位的课题任务。</w:t>
      </w:r>
    </w:p>
    <w:p w14:paraId="4A9BCA73">
      <w:pPr>
        <w:widowControl/>
        <w:snapToGrid w:val="0"/>
        <w:spacing w:line="480" w:lineRule="exact"/>
        <w:ind w:firstLine="480" w:firstLineChars="200"/>
        <w:contextualSpacing/>
        <w:outlineLvl w:val="1"/>
        <w:rPr>
          <w:rFonts w:asciiTheme="minorEastAsia" w:hAnsiTheme="minorEastAsia" w:eastAsiaTheme="minorEastAsia" w:cstheme="minorEastAsia"/>
          <w:bCs/>
          <w:iCs/>
          <w:kern w:val="0"/>
          <w:sz w:val="28"/>
        </w:rPr>
      </w:pPr>
      <w:r>
        <w:rPr>
          <w:rFonts w:asciiTheme="minorEastAsia" w:hAnsiTheme="minorEastAsia" w:eastAsiaTheme="minorEastAsia" w:cstheme="minorEastAsia"/>
          <w:bCs/>
          <w:iCs/>
          <w:kern w:val="0"/>
          <w:sz w:val="24"/>
          <w:szCs w:val="24"/>
        </w:rPr>
        <w:t>9</w:t>
      </w:r>
      <w:r>
        <w:rPr>
          <w:rFonts w:hint="eastAsia" w:asciiTheme="minorEastAsia" w:hAnsiTheme="minorEastAsia" w:eastAsiaTheme="minorEastAsia" w:cstheme="minorEastAsia"/>
          <w:bCs/>
          <w:iCs/>
          <w:kern w:val="0"/>
          <w:sz w:val="24"/>
          <w:szCs w:val="24"/>
        </w:rPr>
        <w:t xml:space="preserve">. </w:t>
      </w:r>
      <w:r>
        <w:rPr>
          <w:rFonts w:hint="eastAsia" w:asciiTheme="minorEastAsia" w:hAnsiTheme="minorEastAsia" w:eastAsiaTheme="minorEastAsia" w:cstheme="minorEastAsia"/>
          <w:b/>
          <w:bCs/>
          <w:iCs/>
          <w:kern w:val="0"/>
          <w:sz w:val="24"/>
          <w:szCs w:val="24"/>
        </w:rPr>
        <w:t>课题申请人无需向资助企业额外购买配套设备或软件。</w:t>
      </w:r>
    </w:p>
    <w:p w14:paraId="100C7320">
      <w:pPr>
        <w:snapToGrid w:val="0"/>
        <w:spacing w:line="480" w:lineRule="exact"/>
        <w:ind w:firstLine="420" w:firstLineChars="200"/>
        <w:contextualSpacing/>
        <w:rPr>
          <w:rFonts w:asciiTheme="minorEastAsia" w:hAnsiTheme="minorEastAsia" w:eastAsiaTheme="minorEastAsia" w:cstheme="minorEastAsia"/>
          <w:szCs w:val="24"/>
        </w:rPr>
      </w:pPr>
    </w:p>
    <w:p w14:paraId="46B02900">
      <w:pPr>
        <w:widowControl/>
        <w:snapToGrid w:val="0"/>
        <w:spacing w:line="480" w:lineRule="exact"/>
        <w:ind w:firstLine="560" w:firstLineChars="200"/>
        <w:contextualSpacing/>
        <w:outlineLvl w:val="1"/>
        <w:rPr>
          <w:rFonts w:hint="eastAsia" w:ascii="黑体" w:hAnsi="黑体" w:eastAsia="黑体" w:cs="黑体"/>
          <w:b w:val="0"/>
          <w:bCs w:val="0"/>
          <w:iCs/>
          <w:kern w:val="0"/>
          <w:sz w:val="28"/>
          <w:szCs w:val="28"/>
        </w:rPr>
      </w:pPr>
      <w:r>
        <w:rPr>
          <w:rFonts w:hint="eastAsia" w:ascii="黑体" w:hAnsi="黑体" w:eastAsia="黑体" w:cs="黑体"/>
          <w:b w:val="0"/>
          <w:bCs w:val="0"/>
          <w:iCs/>
          <w:kern w:val="0"/>
          <w:sz w:val="28"/>
          <w:szCs w:val="28"/>
        </w:rPr>
        <w:t>五、联系人及联系方式</w:t>
      </w:r>
    </w:p>
    <w:p w14:paraId="00FBA15C">
      <w:pPr>
        <w:spacing w:line="48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教育部高等学校科学研究发展中心</w:t>
      </w:r>
      <w:r>
        <w:rPr>
          <w:rFonts w:hint="eastAsia" w:asciiTheme="minorEastAsia" w:hAnsiTheme="minorEastAsia" w:eastAsiaTheme="minorEastAsia" w:cstheme="minorEastAsia"/>
          <w:iCs/>
          <w:sz w:val="24"/>
          <w:szCs w:val="32"/>
        </w:rPr>
        <w:t>联系人：</w:t>
      </w:r>
    </w:p>
    <w:p w14:paraId="662A880A">
      <w:pPr>
        <w:spacing w:line="48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张  杰：010-62514689</w:t>
      </w:r>
    </w:p>
    <w:p w14:paraId="3CF6C97C">
      <w:pPr>
        <w:spacing w:line="48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企业联系人：</w:t>
      </w:r>
    </w:p>
    <w:p w14:paraId="1D4C3C21">
      <w:pPr>
        <w:spacing w:line="480" w:lineRule="exact"/>
        <w:ind w:firstLine="48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代志超：18213993954</w:t>
      </w:r>
    </w:p>
    <w:p w14:paraId="6FE57838">
      <w:pPr>
        <w:spacing w:line="480" w:lineRule="exact"/>
        <w:ind w:firstLine="48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陈友武：13860637921</w:t>
      </w:r>
    </w:p>
    <w:p w14:paraId="5457C69E">
      <w:pPr>
        <w:spacing w:line="480" w:lineRule="exact"/>
        <w:ind w:firstLine="480"/>
        <w:rPr>
          <w:rFonts w:asciiTheme="minorEastAsia" w:hAnsiTheme="minorEastAsia" w:eastAsiaTheme="minorEastAsia" w:cstheme="minorEastAsia"/>
          <w:iCs/>
          <w:sz w:val="24"/>
          <w:szCs w:val="32"/>
        </w:rPr>
      </w:pPr>
    </w:p>
    <w:p w14:paraId="489CF9A2">
      <w:pPr>
        <w:spacing w:line="480" w:lineRule="exact"/>
        <w:ind w:firstLine="480"/>
        <w:rPr>
          <w:rFonts w:asciiTheme="minorEastAsia" w:hAnsiTheme="minorEastAsia" w:eastAsiaTheme="minorEastAsia" w:cstheme="minorEastAsia"/>
          <w:iCs/>
          <w:sz w:val="24"/>
          <w:szCs w:val="32"/>
        </w:rPr>
      </w:pPr>
    </w:p>
    <w:p w14:paraId="506A9D25">
      <w:pPr>
        <w:spacing w:line="480" w:lineRule="exact"/>
        <w:ind w:firstLine="480"/>
        <w:rPr>
          <w:rFonts w:asciiTheme="minorEastAsia" w:hAnsiTheme="minorEastAsia" w:eastAsiaTheme="minorEastAsia" w:cstheme="minorEastAsia"/>
          <w:iCs/>
          <w:sz w:val="24"/>
          <w:szCs w:val="32"/>
        </w:rPr>
      </w:pPr>
    </w:p>
    <w:p w14:paraId="6E7414E9">
      <w:pPr>
        <w:spacing w:line="480" w:lineRule="exact"/>
        <w:ind w:firstLine="480"/>
        <w:rPr>
          <w:rFonts w:asciiTheme="minorEastAsia" w:hAnsiTheme="minorEastAsia" w:eastAsiaTheme="minorEastAsia" w:cstheme="minorEastAsia"/>
          <w:iCs/>
          <w:sz w:val="24"/>
          <w:szCs w:val="32"/>
        </w:rPr>
      </w:pPr>
    </w:p>
    <w:p w14:paraId="0B115343">
      <w:pPr>
        <w:spacing w:line="480" w:lineRule="exact"/>
        <w:ind w:firstLine="480"/>
        <w:rPr>
          <w:rFonts w:asciiTheme="minorEastAsia" w:hAnsiTheme="minorEastAsia" w:eastAsiaTheme="minorEastAsia" w:cstheme="minorEastAsia"/>
          <w:iCs/>
          <w:sz w:val="24"/>
          <w:szCs w:val="32"/>
        </w:rPr>
      </w:pPr>
    </w:p>
    <w:p w14:paraId="235B2155">
      <w:pPr>
        <w:spacing w:line="480" w:lineRule="exact"/>
        <w:ind w:firstLine="480"/>
        <w:rPr>
          <w:rFonts w:asciiTheme="minorEastAsia" w:hAnsiTheme="minorEastAsia" w:eastAsiaTheme="minorEastAsia" w:cstheme="minorEastAsia"/>
          <w:iCs/>
          <w:sz w:val="24"/>
          <w:szCs w:val="32"/>
        </w:rPr>
      </w:pPr>
    </w:p>
    <w:p w14:paraId="600904D1">
      <w:pPr>
        <w:spacing w:line="480" w:lineRule="exact"/>
        <w:ind w:firstLine="480"/>
        <w:rPr>
          <w:rFonts w:asciiTheme="minorEastAsia" w:hAnsiTheme="minorEastAsia" w:eastAsiaTheme="minorEastAsia" w:cstheme="minorEastAsia"/>
          <w:iCs/>
          <w:sz w:val="24"/>
          <w:szCs w:val="32"/>
        </w:rPr>
      </w:pPr>
    </w:p>
    <w:p w14:paraId="61E7DFD1">
      <w:pPr>
        <w:spacing w:line="480" w:lineRule="exact"/>
        <w:ind w:firstLine="480"/>
        <w:rPr>
          <w:rFonts w:asciiTheme="minorEastAsia" w:hAnsiTheme="minorEastAsia" w:eastAsiaTheme="minorEastAsia" w:cstheme="minorEastAsia"/>
          <w:iCs/>
          <w:sz w:val="24"/>
          <w:szCs w:val="32"/>
        </w:rPr>
      </w:pPr>
    </w:p>
    <w:p w14:paraId="23D5A651">
      <w:pPr>
        <w:spacing w:line="480" w:lineRule="exact"/>
        <w:ind w:firstLine="480"/>
        <w:rPr>
          <w:rFonts w:asciiTheme="minorEastAsia" w:hAnsiTheme="minorEastAsia" w:eastAsiaTheme="minorEastAsia" w:cstheme="minorEastAsia"/>
          <w:iCs/>
          <w:sz w:val="24"/>
          <w:szCs w:val="32"/>
        </w:rPr>
      </w:pPr>
    </w:p>
    <w:p w14:paraId="0964BA01">
      <w:pPr>
        <w:spacing w:line="480" w:lineRule="exact"/>
        <w:ind w:firstLine="480"/>
        <w:rPr>
          <w:rFonts w:asciiTheme="minorEastAsia" w:hAnsiTheme="minorEastAsia" w:eastAsiaTheme="minorEastAsia" w:cstheme="minorEastAsia"/>
          <w:iCs/>
          <w:sz w:val="24"/>
          <w:szCs w:val="32"/>
        </w:rPr>
      </w:pPr>
    </w:p>
    <w:p w14:paraId="3D68E6D1">
      <w:pPr>
        <w:spacing w:line="480" w:lineRule="exact"/>
        <w:ind w:firstLine="480"/>
        <w:rPr>
          <w:rFonts w:asciiTheme="minorEastAsia" w:hAnsiTheme="minorEastAsia" w:eastAsiaTheme="minorEastAsia" w:cstheme="minorEastAsia"/>
          <w:iCs/>
          <w:sz w:val="24"/>
          <w:szCs w:val="32"/>
        </w:rPr>
      </w:pPr>
    </w:p>
    <w:p w14:paraId="04C0586D">
      <w:pPr>
        <w:spacing w:line="480" w:lineRule="exact"/>
        <w:ind w:firstLine="480"/>
        <w:rPr>
          <w:rFonts w:asciiTheme="minorEastAsia" w:hAnsiTheme="minorEastAsia" w:eastAsiaTheme="minorEastAsia" w:cstheme="minorEastAsia"/>
          <w:iCs/>
          <w:sz w:val="24"/>
          <w:szCs w:val="32"/>
        </w:rPr>
      </w:pPr>
    </w:p>
    <w:p w14:paraId="5020D00F">
      <w:pPr>
        <w:spacing w:line="480" w:lineRule="exact"/>
        <w:ind w:firstLine="480"/>
        <w:rPr>
          <w:rFonts w:asciiTheme="minorEastAsia" w:hAnsiTheme="minorEastAsia" w:eastAsiaTheme="minorEastAsia" w:cstheme="minorEastAsia"/>
          <w:iCs/>
          <w:sz w:val="24"/>
          <w:szCs w:val="32"/>
        </w:rPr>
      </w:pPr>
    </w:p>
    <w:p w14:paraId="5D6783A0">
      <w:pPr>
        <w:spacing w:line="480" w:lineRule="exact"/>
        <w:ind w:firstLine="480"/>
        <w:rPr>
          <w:rFonts w:asciiTheme="minorEastAsia" w:hAnsiTheme="minorEastAsia" w:eastAsiaTheme="minorEastAsia" w:cstheme="minorEastAsia"/>
          <w:iCs/>
          <w:sz w:val="24"/>
          <w:szCs w:val="32"/>
        </w:rPr>
      </w:pPr>
    </w:p>
    <w:p w14:paraId="34A63D8C">
      <w:pPr>
        <w:spacing w:line="480" w:lineRule="exact"/>
        <w:ind w:firstLine="480"/>
        <w:rPr>
          <w:rFonts w:asciiTheme="minorEastAsia" w:hAnsiTheme="minorEastAsia" w:eastAsiaTheme="minorEastAsia" w:cstheme="minorEastAsia"/>
          <w:iCs/>
          <w:sz w:val="24"/>
          <w:szCs w:val="32"/>
        </w:rPr>
      </w:pPr>
    </w:p>
    <w:p w14:paraId="256BEECF">
      <w:pPr>
        <w:spacing w:line="480" w:lineRule="exact"/>
        <w:ind w:firstLine="480"/>
        <w:rPr>
          <w:rFonts w:asciiTheme="minorEastAsia" w:hAnsiTheme="minorEastAsia" w:eastAsiaTheme="minorEastAsia" w:cstheme="minorEastAsia"/>
          <w:iCs/>
          <w:sz w:val="24"/>
          <w:szCs w:val="32"/>
        </w:rPr>
      </w:pPr>
    </w:p>
    <w:p w14:paraId="587B6EC7">
      <w:pPr>
        <w:spacing w:line="480" w:lineRule="exact"/>
        <w:ind w:firstLine="480"/>
        <w:rPr>
          <w:rFonts w:asciiTheme="minorEastAsia" w:hAnsiTheme="minorEastAsia" w:eastAsiaTheme="minorEastAsia" w:cstheme="minorEastAsia"/>
          <w:iCs/>
          <w:sz w:val="24"/>
          <w:szCs w:val="32"/>
        </w:rPr>
      </w:pPr>
    </w:p>
    <w:p w14:paraId="60B98495">
      <w:pPr>
        <w:spacing w:line="480" w:lineRule="exact"/>
        <w:ind w:firstLine="480"/>
        <w:rPr>
          <w:rFonts w:asciiTheme="minorEastAsia" w:hAnsiTheme="minorEastAsia" w:eastAsiaTheme="minorEastAsia" w:cstheme="minorEastAsia"/>
          <w:iCs/>
          <w:sz w:val="24"/>
          <w:szCs w:val="32"/>
        </w:rPr>
      </w:pPr>
    </w:p>
    <w:p w14:paraId="59D99684">
      <w:pPr>
        <w:spacing w:line="480" w:lineRule="exact"/>
        <w:ind w:firstLine="480"/>
        <w:rPr>
          <w:rFonts w:asciiTheme="minorEastAsia" w:hAnsiTheme="minorEastAsia" w:eastAsiaTheme="minorEastAsia" w:cstheme="minorEastAsia"/>
          <w:iCs/>
          <w:sz w:val="24"/>
          <w:szCs w:val="32"/>
        </w:rPr>
      </w:pPr>
    </w:p>
    <w:p w14:paraId="6941B34A">
      <w:pPr>
        <w:widowControl/>
        <w:snapToGrid w:val="0"/>
        <w:spacing w:line="460" w:lineRule="exact"/>
        <w:jc w:val="left"/>
        <w:outlineLvl w:val="0"/>
        <w:rPr>
          <w:rFonts w:asciiTheme="minorEastAsia" w:hAnsiTheme="minorEastAsia" w:eastAsiaTheme="minorEastAsia" w:cstheme="minorEastAsia"/>
          <w:bCs/>
          <w:iCs/>
          <w:kern w:val="0"/>
          <w:sz w:val="24"/>
          <w:szCs w:val="24"/>
        </w:rPr>
      </w:pPr>
      <w:bookmarkStart w:id="3" w:name="heading_0"/>
      <w:r>
        <w:rPr>
          <w:rFonts w:hint="eastAsia" w:asciiTheme="minorEastAsia" w:hAnsiTheme="minorEastAsia" w:eastAsiaTheme="minorEastAsia" w:cstheme="minorEastAsia"/>
          <w:bCs/>
          <w:iCs/>
          <w:kern w:val="0"/>
          <w:sz w:val="24"/>
          <w:szCs w:val="24"/>
        </w:rPr>
        <w:t>附录</w:t>
      </w:r>
    </w:p>
    <w:p w14:paraId="71403ED1">
      <w:pPr>
        <w:widowControl/>
        <w:snapToGrid w:val="0"/>
        <w:spacing w:after="156" w:afterLines="50" w:line="460" w:lineRule="exact"/>
        <w:jc w:val="center"/>
        <w:outlineLvl w:val="0"/>
        <w:rPr>
          <w:rFonts w:ascii="华文中宋" w:hAnsi="华文中宋" w:eastAsia="华文中宋" w:cstheme="minorEastAsia"/>
          <w:b/>
          <w:bCs/>
          <w:iCs/>
          <w:kern w:val="0"/>
          <w:sz w:val="32"/>
          <w:szCs w:val="32"/>
        </w:rPr>
      </w:pPr>
      <w:r>
        <w:rPr>
          <w:rFonts w:hint="eastAsia" w:ascii="华文中宋" w:hAnsi="华文中宋" w:eastAsia="华文中宋" w:cstheme="minorEastAsia"/>
          <w:b/>
          <w:bCs/>
          <w:iCs/>
          <w:kern w:val="0"/>
          <w:sz w:val="32"/>
          <w:szCs w:val="32"/>
        </w:rPr>
        <w:t>高等教育、职业教育AI Skills 创新创作研究与实践方向指引</w:t>
      </w:r>
    </w:p>
    <w:p w14:paraId="026C7DE1">
      <w:pPr>
        <w:widowControl/>
        <w:snapToGrid w:val="0"/>
        <w:spacing w:line="46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本指引聚焦教育数字化转型核心需求，针对高等教育、职业教育的差异化培养目标与场景特点，搭建双赛道并行、全链条覆盖的AI Skills创新研究与实践体系，涵盖理论构建、技术开发、教学融合、实践落地、伦理治理、评价生态等核心维度，内含10大核心领域、120+细分方向。</w:t>
      </w:r>
    </w:p>
    <w:p w14:paraId="21988A34">
      <w:pPr>
        <w:widowControl/>
        <w:snapToGrid w:val="0"/>
        <w:spacing w:line="46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核心差异说明：高等教育侧重</w:t>
      </w:r>
      <w:r>
        <w:rPr>
          <w:rFonts w:hint="eastAsia" w:asciiTheme="minorEastAsia" w:hAnsiTheme="minorEastAsia" w:eastAsiaTheme="minorEastAsia" w:cstheme="minorEastAsia"/>
          <w:b/>
          <w:bCs/>
          <w:iCs/>
          <w:kern w:val="0"/>
          <w:sz w:val="24"/>
          <w:szCs w:val="24"/>
        </w:rPr>
        <w:t>学科融合、高阶思维培养、学术科研创新、拔尖人才培育</w:t>
      </w:r>
      <w:r>
        <w:rPr>
          <w:rFonts w:hint="eastAsia" w:asciiTheme="minorEastAsia" w:hAnsiTheme="minorEastAsia" w:eastAsiaTheme="minorEastAsia" w:cstheme="minorEastAsia"/>
          <w:iCs/>
          <w:kern w:val="0"/>
          <w:sz w:val="24"/>
          <w:szCs w:val="24"/>
        </w:rPr>
        <w:t>；职业教育侧重</w:t>
      </w:r>
      <w:r>
        <w:rPr>
          <w:rFonts w:hint="eastAsia" w:asciiTheme="minorEastAsia" w:hAnsiTheme="minorEastAsia" w:eastAsiaTheme="minorEastAsia" w:cstheme="minorEastAsia"/>
          <w:b/>
          <w:bCs/>
          <w:iCs/>
          <w:kern w:val="0"/>
          <w:sz w:val="24"/>
          <w:szCs w:val="24"/>
        </w:rPr>
        <w:t>岗课赛证融通、产教融合、实训实操、技能型人才落地培养</w:t>
      </w:r>
      <w:r>
        <w:rPr>
          <w:rFonts w:hint="eastAsia" w:asciiTheme="minorEastAsia" w:hAnsiTheme="minorEastAsia" w:eastAsiaTheme="minorEastAsia" w:cstheme="minorEastAsia"/>
          <w:iCs/>
          <w:kern w:val="0"/>
          <w:sz w:val="24"/>
          <w:szCs w:val="24"/>
        </w:rPr>
        <w:t>，两个方向同源但场景适配、重点各有侧重。</w:t>
      </w:r>
    </w:p>
    <w:p w14:paraId="4D569F66">
      <w:pPr>
        <w:widowControl/>
        <w:numPr>
          <w:ilvl w:val="0"/>
          <w:numId w:val="1"/>
        </w:numPr>
        <w:snapToGrid w:val="0"/>
        <w:spacing w:line="460" w:lineRule="exact"/>
        <w:outlineLvl w:val="1"/>
        <w:rPr>
          <w:rFonts w:asciiTheme="minorEastAsia" w:hAnsiTheme="minorEastAsia" w:eastAsiaTheme="minorEastAsia" w:cstheme="minorEastAsia"/>
          <w:b/>
          <w:bCs/>
          <w:iCs/>
          <w:kern w:val="0"/>
          <w:sz w:val="28"/>
          <w:szCs w:val="28"/>
        </w:rPr>
      </w:pPr>
      <w:r>
        <w:rPr>
          <w:rFonts w:hint="eastAsia" w:asciiTheme="minorEastAsia" w:hAnsiTheme="minorEastAsia" w:eastAsiaTheme="minorEastAsia" w:cstheme="minorEastAsia"/>
          <w:b/>
          <w:bCs/>
          <w:iCs/>
          <w:kern w:val="0"/>
          <w:sz w:val="28"/>
          <w:szCs w:val="28"/>
        </w:rPr>
        <w:t>高等教育AI Skills 创新创作研究与实践方向</w:t>
      </w:r>
      <w:bookmarkEnd w:id="3"/>
    </w:p>
    <w:p w14:paraId="466843AC">
      <w:pPr>
        <w:widowControl/>
        <w:numPr>
          <w:ilvl w:val="1"/>
          <w:numId w:val="1"/>
        </w:numPr>
        <w:snapToGrid w:val="0"/>
        <w:spacing w:line="460" w:lineRule="exact"/>
        <w:outlineLvl w:val="1"/>
        <w:rPr>
          <w:rFonts w:asciiTheme="minorEastAsia" w:hAnsiTheme="minorEastAsia" w:eastAsiaTheme="minorEastAsia" w:cstheme="minorEastAsia"/>
          <w:b/>
          <w:bCs/>
          <w:iCs/>
          <w:kern w:val="0"/>
          <w:sz w:val="28"/>
          <w:szCs w:val="28"/>
        </w:rPr>
      </w:pPr>
      <w:bookmarkStart w:id="4" w:name="heading_1"/>
      <w:r>
        <w:rPr>
          <w:rFonts w:hint="eastAsia" w:asciiTheme="minorEastAsia" w:hAnsiTheme="minorEastAsia" w:eastAsiaTheme="minorEastAsia" w:cstheme="minorEastAsia"/>
          <w:b/>
          <w:bCs/>
          <w:iCs/>
          <w:kern w:val="0"/>
          <w:sz w:val="28"/>
          <w:szCs w:val="28"/>
        </w:rPr>
        <w:t>基础理论与体系构建研究</w:t>
      </w:r>
      <w:bookmarkEnd w:id="4"/>
    </w:p>
    <w:p w14:paraId="7CC608F2">
      <w:pPr>
        <w:numPr>
          <w:ilvl w:val="1"/>
          <w:numId w:val="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AI Skills 内涵、界定、分类与高等教育专属属性研究</w:t>
      </w:r>
    </w:p>
    <w:p w14:paraId="036777D9">
      <w:pPr>
        <w:numPr>
          <w:ilvl w:val="1"/>
          <w:numId w:val="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高等教育智能体（HEIA）理论框架与学生核心能力模型构建</w:t>
      </w:r>
    </w:p>
    <w:p w14:paraId="32EF4131">
      <w:pPr>
        <w:numPr>
          <w:ilvl w:val="1"/>
          <w:numId w:val="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AI Skills 与批判性思维、创新思维、协作能力等高阶思维培养机理研究</w:t>
      </w:r>
    </w:p>
    <w:p w14:paraId="15162123">
      <w:pPr>
        <w:numPr>
          <w:ilvl w:val="1"/>
          <w:numId w:val="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“AI+专业”复合型人才培养范式与核心能力标准制定</w:t>
      </w:r>
    </w:p>
    <w:p w14:paraId="0DB6E318">
      <w:pPr>
        <w:numPr>
          <w:ilvl w:val="1"/>
          <w:numId w:val="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教育大模型+智能体+Skills 三层架构高等教育适配理论研究</w:t>
      </w:r>
    </w:p>
    <w:p w14:paraId="28F295E7">
      <w:pPr>
        <w:numPr>
          <w:ilvl w:val="1"/>
          <w:numId w:val="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国内外高等教育AI Skills 相关政策、发展模式与实践经验比较研究</w:t>
      </w:r>
    </w:p>
    <w:p w14:paraId="66BB54E5">
      <w:pPr>
        <w:widowControl/>
        <w:numPr>
          <w:ilvl w:val="1"/>
          <w:numId w:val="1"/>
        </w:numPr>
        <w:snapToGrid w:val="0"/>
        <w:spacing w:line="460" w:lineRule="exact"/>
        <w:outlineLvl w:val="1"/>
        <w:rPr>
          <w:rFonts w:asciiTheme="minorEastAsia" w:hAnsiTheme="minorEastAsia" w:eastAsiaTheme="minorEastAsia" w:cstheme="minorEastAsia"/>
          <w:b/>
          <w:bCs/>
          <w:iCs/>
          <w:kern w:val="0"/>
          <w:sz w:val="28"/>
          <w:szCs w:val="28"/>
        </w:rPr>
      </w:pPr>
      <w:bookmarkStart w:id="5" w:name="heading_2"/>
      <w:r>
        <w:rPr>
          <w:rFonts w:hint="eastAsia" w:asciiTheme="minorEastAsia" w:hAnsiTheme="minorEastAsia" w:eastAsiaTheme="minorEastAsia" w:cstheme="minorEastAsia"/>
          <w:b/>
          <w:bCs/>
          <w:iCs/>
          <w:kern w:val="0"/>
          <w:sz w:val="28"/>
          <w:szCs w:val="28"/>
        </w:rPr>
        <w:t>AI Skills 技术架构与开发方法研究</w:t>
      </w:r>
      <w:bookmarkEnd w:id="5"/>
    </w:p>
    <w:p w14:paraId="6F38666A">
      <w:pPr>
        <w:numPr>
          <w:ilvl w:val="1"/>
          <w:numId w:val="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高校学科场景化Skills标准化设计与封装规范研究</w:t>
      </w:r>
    </w:p>
    <w:p w14:paraId="15212855">
      <w:pPr>
        <w:numPr>
          <w:ilvl w:val="1"/>
          <w:numId w:val="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适配高校师生的轻量、低代码/无代码教育Skills开发平台搭建</w:t>
      </w:r>
    </w:p>
    <w:p w14:paraId="08C49969">
      <w:pPr>
        <w:numPr>
          <w:ilvl w:val="1"/>
          <w:numId w:val="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文本、图像、音视频、3D多模态高校教育Skills开发与应用</w:t>
      </w:r>
    </w:p>
    <w:p w14:paraId="4335784B">
      <w:pPr>
        <w:numPr>
          <w:ilvl w:val="1"/>
          <w:numId w:val="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RAG+学科知识库+学术数据的可信教育Skills构建技术</w:t>
      </w:r>
    </w:p>
    <w:p w14:paraId="5C9BDCEC">
      <w:pPr>
        <w:numPr>
          <w:ilvl w:val="1"/>
          <w:numId w:val="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智能体协同、多Skills编排与教学科研任务链自动化研究</w:t>
      </w:r>
    </w:p>
    <w:p w14:paraId="5DD5BC1F">
      <w:pPr>
        <w:numPr>
          <w:ilvl w:val="1"/>
          <w:numId w:val="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边缘计算与隐私计算下高校教育Skills安全部署技术</w:t>
      </w:r>
    </w:p>
    <w:p w14:paraId="790622F2">
      <w:pPr>
        <w:numPr>
          <w:ilvl w:val="1"/>
          <w:numId w:val="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国产大模型适配的高校学科Skills迁移与优化技术</w:t>
      </w:r>
    </w:p>
    <w:p w14:paraId="6B8F6F7F">
      <w:pPr>
        <w:numPr>
          <w:ilvl w:val="1"/>
          <w:numId w:val="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高校教育Skills版本管理、迭代升级与自动化测试技术体系</w:t>
      </w:r>
    </w:p>
    <w:p w14:paraId="3EE9456D">
      <w:pPr>
        <w:widowControl/>
        <w:numPr>
          <w:ilvl w:val="1"/>
          <w:numId w:val="1"/>
        </w:numPr>
        <w:snapToGrid w:val="0"/>
        <w:spacing w:line="460" w:lineRule="exact"/>
        <w:outlineLvl w:val="1"/>
        <w:rPr>
          <w:rFonts w:asciiTheme="minorEastAsia" w:hAnsiTheme="minorEastAsia" w:eastAsiaTheme="minorEastAsia" w:cstheme="minorEastAsia"/>
          <w:b/>
          <w:bCs/>
          <w:iCs/>
          <w:kern w:val="0"/>
          <w:sz w:val="28"/>
          <w:szCs w:val="28"/>
        </w:rPr>
      </w:pPr>
      <w:bookmarkStart w:id="6" w:name="heading_3"/>
      <w:r>
        <w:rPr>
          <w:rFonts w:hint="eastAsia" w:asciiTheme="minorEastAsia" w:hAnsiTheme="minorEastAsia" w:eastAsiaTheme="minorEastAsia" w:cstheme="minorEastAsia"/>
          <w:b/>
          <w:bCs/>
          <w:iCs/>
          <w:kern w:val="0"/>
          <w:sz w:val="28"/>
          <w:szCs w:val="28"/>
        </w:rPr>
        <w:t>教学融合与课堂创新研究</w:t>
      </w:r>
      <w:bookmarkEnd w:id="6"/>
    </w:p>
    <w:p w14:paraId="6636D765">
      <w:pPr>
        <w:numPr>
          <w:ilvl w:val="1"/>
          <w:numId w:val="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智能备课、教学设计、学术题库生成类Skills课堂应用</w:t>
      </w:r>
    </w:p>
    <w:p w14:paraId="0F5848EB">
      <w:pPr>
        <w:numPr>
          <w:ilvl w:val="1"/>
          <w:numId w:val="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课堂互动、学情感知、学习效果实时反馈类Skills实践</w:t>
      </w:r>
    </w:p>
    <w:p w14:paraId="68185F71">
      <w:pPr>
        <w:numPr>
          <w:ilvl w:val="1"/>
          <w:numId w:val="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作业批改、实验报告审核、过程性评价类Skills落地</w:t>
      </w:r>
    </w:p>
    <w:p w14:paraId="261379D3">
      <w:pPr>
        <w:numPr>
          <w:ilvl w:val="1"/>
          <w:numId w:val="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双语/多语专业课教学、学术术语翻译、跨文化交流Skills应用</w:t>
      </w:r>
    </w:p>
    <w:p w14:paraId="3A0E3EA7">
      <w:pPr>
        <w:numPr>
          <w:ilvl w:val="1"/>
          <w:numId w:val="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翻转课堂、混合式教学、探究式学习赋能Skills开发</w:t>
      </w:r>
    </w:p>
    <w:p w14:paraId="3E234C2A">
      <w:pPr>
        <w:numPr>
          <w:ilvl w:val="1"/>
          <w:numId w:val="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通识课、专业课、实践课差异化Skills适配与优化</w:t>
      </w:r>
    </w:p>
    <w:p w14:paraId="00DC493D">
      <w:pPr>
        <w:numPr>
          <w:ilvl w:val="1"/>
          <w:numId w:val="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分层教学、个性化学习路径推荐与精准导学Skills研究</w:t>
      </w:r>
    </w:p>
    <w:p w14:paraId="40323524">
      <w:pPr>
        <w:numPr>
          <w:ilvl w:val="1"/>
          <w:numId w:val="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高校特殊教育与无障碍学习辅助类Skills开发</w:t>
      </w:r>
    </w:p>
    <w:p w14:paraId="2C3D8738">
      <w:pPr>
        <w:widowControl/>
        <w:numPr>
          <w:ilvl w:val="1"/>
          <w:numId w:val="1"/>
        </w:numPr>
        <w:snapToGrid w:val="0"/>
        <w:spacing w:line="460" w:lineRule="exact"/>
        <w:outlineLvl w:val="1"/>
        <w:rPr>
          <w:rFonts w:asciiTheme="minorEastAsia" w:hAnsiTheme="minorEastAsia" w:eastAsiaTheme="minorEastAsia" w:cstheme="minorEastAsia"/>
          <w:b/>
          <w:bCs/>
          <w:iCs/>
          <w:kern w:val="0"/>
          <w:sz w:val="28"/>
          <w:szCs w:val="28"/>
        </w:rPr>
      </w:pPr>
      <w:bookmarkStart w:id="7" w:name="heading_4"/>
      <w:r>
        <w:rPr>
          <w:rFonts w:hint="eastAsia" w:asciiTheme="minorEastAsia" w:hAnsiTheme="minorEastAsia" w:eastAsiaTheme="minorEastAsia" w:cstheme="minorEastAsia"/>
          <w:b/>
          <w:bCs/>
          <w:iCs/>
          <w:kern w:val="0"/>
          <w:sz w:val="28"/>
          <w:szCs w:val="28"/>
        </w:rPr>
        <w:t>科研赋能与学术创新研究</w:t>
      </w:r>
      <w:bookmarkEnd w:id="7"/>
    </w:p>
    <w:p w14:paraId="2CA4861F">
      <w:pPr>
        <w:numPr>
          <w:ilvl w:val="1"/>
          <w:numId w:val="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文献精准检索、综述自动生成、学科知识图谱构建Skills</w:t>
      </w:r>
    </w:p>
    <w:p w14:paraId="4F6234D6">
      <w:pPr>
        <w:numPr>
          <w:ilvl w:val="1"/>
          <w:numId w:val="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学术实验设计、科研数据清洗、可视化分析类Skills应用</w:t>
      </w:r>
    </w:p>
    <w:p w14:paraId="147F8FF7">
      <w:pPr>
        <w:numPr>
          <w:ilvl w:val="1"/>
          <w:numId w:val="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学术论文写作、规范校对、查重降重辅助类Skills研发</w:t>
      </w:r>
    </w:p>
    <w:p w14:paraId="044A614D">
      <w:pPr>
        <w:numPr>
          <w:ilvl w:val="1"/>
          <w:numId w:val="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科研项目申报、标书撰写、成果全周期管理Skills</w:t>
      </w:r>
    </w:p>
    <w:p w14:paraId="23E7A4AD">
      <w:pPr>
        <w:numPr>
          <w:ilvl w:val="1"/>
          <w:numId w:val="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跨学科科研协同与知识融合类Skills构建</w:t>
      </w:r>
    </w:p>
    <w:p w14:paraId="6F90461A">
      <w:pPr>
        <w:numPr>
          <w:ilvl w:val="1"/>
          <w:numId w:val="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科研数据安全、合规管理与成果溯源Skills开发</w:t>
      </w:r>
    </w:p>
    <w:p w14:paraId="3D571107">
      <w:pPr>
        <w:numPr>
          <w:ilvl w:val="1"/>
          <w:numId w:val="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科研成果转化、专利挖掘、产学研对接辅助Skills</w:t>
      </w:r>
    </w:p>
    <w:p w14:paraId="3E4A7ED8">
      <w:pPr>
        <w:numPr>
          <w:ilvl w:val="1"/>
          <w:numId w:val="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学术会议筹备、报告生成、成果传播推广Skills应用</w:t>
      </w:r>
    </w:p>
    <w:p w14:paraId="3F0C5AB9">
      <w:pPr>
        <w:widowControl/>
        <w:numPr>
          <w:ilvl w:val="1"/>
          <w:numId w:val="1"/>
        </w:numPr>
        <w:snapToGrid w:val="0"/>
        <w:spacing w:line="460" w:lineRule="exact"/>
        <w:outlineLvl w:val="1"/>
        <w:rPr>
          <w:rFonts w:asciiTheme="minorEastAsia" w:hAnsiTheme="minorEastAsia" w:eastAsiaTheme="minorEastAsia" w:cstheme="minorEastAsia"/>
          <w:b/>
          <w:bCs/>
          <w:iCs/>
          <w:kern w:val="0"/>
          <w:sz w:val="28"/>
          <w:szCs w:val="28"/>
        </w:rPr>
      </w:pPr>
      <w:bookmarkStart w:id="8" w:name="heading_5"/>
      <w:r>
        <w:rPr>
          <w:rFonts w:hint="eastAsia" w:asciiTheme="minorEastAsia" w:hAnsiTheme="minorEastAsia" w:eastAsiaTheme="minorEastAsia" w:cstheme="minorEastAsia"/>
          <w:b/>
          <w:bCs/>
          <w:iCs/>
          <w:kern w:val="0"/>
          <w:sz w:val="28"/>
          <w:szCs w:val="28"/>
        </w:rPr>
        <w:t>创新创作与实践能力研究</w:t>
      </w:r>
      <w:bookmarkEnd w:id="8"/>
    </w:p>
    <w:p w14:paraId="5E22CD1E">
      <w:pPr>
        <w:numPr>
          <w:ilvl w:val="1"/>
          <w:numId w:val="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文创艺术、设计创作、新媒体内容产出类Skills应用</w:t>
      </w:r>
    </w:p>
    <w:p w14:paraId="5BA1FDAA">
      <w:pPr>
        <w:numPr>
          <w:ilvl w:val="1"/>
          <w:numId w:val="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工程建模、仿真模拟、产品原型开发类Skills实践</w:t>
      </w:r>
    </w:p>
    <w:p w14:paraId="462DB5F7">
      <w:pPr>
        <w:numPr>
          <w:ilvl w:val="1"/>
          <w:numId w:val="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商业计划书撰写、产品策划、路演展示辅助Skills</w:t>
      </w:r>
    </w:p>
    <w:p w14:paraId="123D9C2F">
      <w:pPr>
        <w:numPr>
          <w:ilvl w:val="1"/>
          <w:numId w:val="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跨学科项目式学习（PBL）与AI Skills融合模式研究</w:t>
      </w:r>
    </w:p>
    <w:p w14:paraId="1562CF45">
      <w:pPr>
        <w:numPr>
          <w:ilvl w:val="1"/>
          <w:numId w:val="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大学生创新创业训练计划（大创）AI全流程赋能</w:t>
      </w:r>
    </w:p>
    <w:p w14:paraId="7422C426">
      <w:pPr>
        <w:numPr>
          <w:ilvl w:val="1"/>
          <w:numId w:val="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学科竞赛辅导、作品打磨、创新成果评价Skills</w:t>
      </w:r>
    </w:p>
    <w:p w14:paraId="1445ED22">
      <w:pPr>
        <w:numPr>
          <w:ilvl w:val="1"/>
          <w:numId w:val="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数字孪生、VR/AR创作与高校实训类Skills开发</w:t>
      </w:r>
    </w:p>
    <w:p w14:paraId="04A97E39">
      <w:pPr>
        <w:numPr>
          <w:ilvl w:val="1"/>
          <w:numId w:val="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学生原创性判定、创意保护与学术版权治理研究</w:t>
      </w:r>
    </w:p>
    <w:p w14:paraId="3FD446B4">
      <w:pPr>
        <w:widowControl/>
        <w:numPr>
          <w:ilvl w:val="1"/>
          <w:numId w:val="1"/>
        </w:numPr>
        <w:snapToGrid w:val="0"/>
        <w:spacing w:line="460" w:lineRule="exact"/>
        <w:outlineLvl w:val="1"/>
        <w:rPr>
          <w:rFonts w:asciiTheme="minorEastAsia" w:hAnsiTheme="minorEastAsia" w:eastAsiaTheme="minorEastAsia" w:cstheme="minorEastAsia"/>
          <w:b/>
          <w:bCs/>
          <w:iCs/>
          <w:kern w:val="0"/>
          <w:sz w:val="28"/>
          <w:szCs w:val="28"/>
        </w:rPr>
      </w:pPr>
      <w:bookmarkStart w:id="9" w:name="heading_6"/>
      <w:r>
        <w:rPr>
          <w:rFonts w:hint="eastAsia" w:asciiTheme="minorEastAsia" w:hAnsiTheme="minorEastAsia" w:eastAsiaTheme="minorEastAsia" w:cstheme="minorEastAsia"/>
          <w:b/>
          <w:bCs/>
          <w:iCs/>
          <w:kern w:val="0"/>
          <w:sz w:val="28"/>
          <w:szCs w:val="28"/>
        </w:rPr>
        <w:t>管理服务与治理现代化研究</w:t>
      </w:r>
      <w:bookmarkEnd w:id="9"/>
    </w:p>
    <w:p w14:paraId="383BA05E">
      <w:pPr>
        <w:numPr>
          <w:ilvl w:val="1"/>
          <w:numId w:val="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高校教务管理、智能排课、选课、学籍管理服务Skills</w:t>
      </w:r>
    </w:p>
    <w:p w14:paraId="2B0084D4">
      <w:pPr>
        <w:numPr>
          <w:ilvl w:val="1"/>
          <w:numId w:val="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师资专业发展、教学质量评价、教学监控类Skills</w:t>
      </w:r>
    </w:p>
    <w:p w14:paraId="7A8B829A">
      <w:pPr>
        <w:numPr>
          <w:ilvl w:val="1"/>
          <w:numId w:val="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学生日常管理、学业预警、心理关怀、就业指导Skills</w:t>
      </w:r>
    </w:p>
    <w:p w14:paraId="31838A69">
      <w:pPr>
        <w:numPr>
          <w:ilvl w:val="1"/>
          <w:numId w:val="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高校资产管理、设备运维、实验室智能化管理Skills</w:t>
      </w:r>
    </w:p>
    <w:p w14:paraId="01DF688A">
      <w:pPr>
        <w:numPr>
          <w:ilvl w:val="1"/>
          <w:numId w:val="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校园政务服务、流程自动化、公文处理类Skills应用</w:t>
      </w:r>
    </w:p>
    <w:p w14:paraId="43D925B5">
      <w:pPr>
        <w:numPr>
          <w:ilvl w:val="1"/>
          <w:numId w:val="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教育数据治理、可视化看板、高校决策支持Skills构建</w:t>
      </w:r>
    </w:p>
    <w:p w14:paraId="51C3BAF0">
      <w:pPr>
        <w:numPr>
          <w:ilvl w:val="1"/>
          <w:numId w:val="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校企合作、实习管理、产教融合协同类Skills</w:t>
      </w:r>
    </w:p>
    <w:p w14:paraId="74A7307A">
      <w:pPr>
        <w:numPr>
          <w:ilvl w:val="1"/>
          <w:numId w:val="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高校现代化治理体系与数字化转型路径研究</w:t>
      </w:r>
    </w:p>
    <w:p w14:paraId="767414F4">
      <w:pPr>
        <w:widowControl/>
        <w:numPr>
          <w:ilvl w:val="1"/>
          <w:numId w:val="1"/>
        </w:numPr>
        <w:snapToGrid w:val="0"/>
        <w:spacing w:line="460" w:lineRule="exact"/>
        <w:outlineLvl w:val="1"/>
        <w:rPr>
          <w:rFonts w:asciiTheme="minorEastAsia" w:hAnsiTheme="minorEastAsia" w:eastAsiaTheme="minorEastAsia" w:cstheme="minorEastAsia"/>
          <w:b/>
          <w:bCs/>
          <w:iCs/>
          <w:kern w:val="0"/>
          <w:sz w:val="28"/>
          <w:szCs w:val="28"/>
        </w:rPr>
      </w:pPr>
      <w:bookmarkStart w:id="10" w:name="heading_7"/>
      <w:r>
        <w:rPr>
          <w:rFonts w:hint="eastAsia" w:asciiTheme="minorEastAsia" w:hAnsiTheme="minorEastAsia" w:eastAsiaTheme="minorEastAsia" w:cstheme="minorEastAsia"/>
          <w:b/>
          <w:bCs/>
          <w:iCs/>
          <w:kern w:val="0"/>
          <w:sz w:val="28"/>
          <w:szCs w:val="28"/>
        </w:rPr>
        <w:t>伦理安全与风险治理研究</w:t>
      </w:r>
      <w:bookmarkEnd w:id="10"/>
    </w:p>
    <w:p w14:paraId="17635AB4">
      <w:pPr>
        <w:numPr>
          <w:ilvl w:val="1"/>
          <w:numId w:val="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高校教育数据隐私、知情同意与个人信息保护合规研究</w:t>
      </w:r>
    </w:p>
    <w:p w14:paraId="6652D805">
      <w:pPr>
        <w:numPr>
          <w:ilvl w:val="1"/>
          <w:numId w:val="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AI幻觉、错误输出、学术知识可靠性管控机制研究</w:t>
      </w:r>
    </w:p>
    <w:p w14:paraId="7055A5B7">
      <w:pPr>
        <w:numPr>
          <w:ilvl w:val="1"/>
          <w:numId w:val="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学术诚信建设、AI生成内容溯源与强制标注研究</w:t>
      </w:r>
    </w:p>
    <w:p w14:paraId="78B40D06">
      <w:pPr>
        <w:numPr>
          <w:ilvl w:val="1"/>
          <w:numId w:val="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教育公平、数字鸿沟与算法偏见治理路径研究</w:t>
      </w:r>
    </w:p>
    <w:p w14:paraId="1D93188F">
      <w:pPr>
        <w:numPr>
          <w:ilvl w:val="1"/>
          <w:numId w:val="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高校师生AI素养培育、伦理规范与责任边界界定</w:t>
      </w:r>
    </w:p>
    <w:p w14:paraId="159D923C">
      <w:pPr>
        <w:numPr>
          <w:ilvl w:val="1"/>
          <w:numId w:val="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教育AI安全体系构建、漏洞排查与应急处置机制</w:t>
      </w:r>
    </w:p>
    <w:p w14:paraId="27F67F40">
      <w:pPr>
        <w:numPr>
          <w:ilvl w:val="1"/>
          <w:numId w:val="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AI Skills知识产权、归属权界定与开源协议规范</w:t>
      </w:r>
    </w:p>
    <w:p w14:paraId="609C7E5A">
      <w:pPr>
        <w:numPr>
          <w:ilvl w:val="1"/>
          <w:numId w:val="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学生人类主体性保护、过度AI依赖与核心能力退化防控</w:t>
      </w:r>
    </w:p>
    <w:p w14:paraId="2C75E9E1">
      <w:pPr>
        <w:widowControl/>
        <w:numPr>
          <w:ilvl w:val="1"/>
          <w:numId w:val="1"/>
        </w:numPr>
        <w:snapToGrid w:val="0"/>
        <w:spacing w:line="460" w:lineRule="exact"/>
        <w:outlineLvl w:val="1"/>
        <w:rPr>
          <w:rFonts w:asciiTheme="minorEastAsia" w:hAnsiTheme="minorEastAsia" w:eastAsiaTheme="minorEastAsia" w:cstheme="minorEastAsia"/>
          <w:b/>
          <w:bCs/>
          <w:iCs/>
          <w:kern w:val="0"/>
          <w:sz w:val="28"/>
          <w:szCs w:val="28"/>
        </w:rPr>
      </w:pPr>
      <w:bookmarkStart w:id="11" w:name="heading_8"/>
      <w:r>
        <w:rPr>
          <w:rFonts w:hint="eastAsia" w:asciiTheme="minorEastAsia" w:hAnsiTheme="minorEastAsia" w:eastAsiaTheme="minorEastAsia" w:cstheme="minorEastAsia"/>
          <w:b/>
          <w:bCs/>
          <w:iCs/>
          <w:kern w:val="0"/>
          <w:sz w:val="28"/>
          <w:szCs w:val="28"/>
        </w:rPr>
        <w:t>质量评价与效果实证研究</w:t>
      </w:r>
      <w:bookmarkEnd w:id="11"/>
    </w:p>
    <w:p w14:paraId="7CCBE33D">
      <w:pPr>
        <w:numPr>
          <w:ilvl w:val="1"/>
          <w:numId w:val="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高校AI Skills可用性、有效性、师生满意度评价指标体系</w:t>
      </w:r>
    </w:p>
    <w:p w14:paraId="775C9CA3">
      <w:pPr>
        <w:numPr>
          <w:ilvl w:val="1"/>
          <w:numId w:val="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教学效果、学习成效、学生能力提升量化评估研究</w:t>
      </w:r>
    </w:p>
    <w:p w14:paraId="6775B38F">
      <w:pPr>
        <w:numPr>
          <w:ilvl w:val="1"/>
          <w:numId w:val="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学生学习行为、学习动机、高阶能力长期追踪研究</w:t>
      </w:r>
    </w:p>
    <w:p w14:paraId="57950C8F">
      <w:pPr>
        <w:numPr>
          <w:ilvl w:val="1"/>
          <w:numId w:val="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AI+教学模式与传统教学模式对照实验与效果对比</w:t>
      </w:r>
    </w:p>
    <w:p w14:paraId="41A7144A">
      <w:pPr>
        <w:numPr>
          <w:ilvl w:val="1"/>
          <w:numId w:val="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AI Skills建设成本效益、投入产出与规模化推广价值分析</w:t>
      </w:r>
    </w:p>
    <w:p w14:paraId="63D75659">
      <w:pPr>
        <w:numPr>
          <w:ilvl w:val="1"/>
          <w:numId w:val="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师生使用体验、接受度调研、应用障碍与改进策略</w:t>
      </w:r>
    </w:p>
    <w:p w14:paraId="00C6DAC6">
      <w:pPr>
        <w:numPr>
          <w:ilvl w:val="1"/>
          <w:numId w:val="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专业认证、课程评估中AI应用成效评价体系</w:t>
      </w:r>
    </w:p>
    <w:p w14:paraId="724EE9B1">
      <w:pPr>
        <w:numPr>
          <w:ilvl w:val="1"/>
          <w:numId w:val="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区域与校际AI Skills评价体系及标杆院校建设</w:t>
      </w:r>
    </w:p>
    <w:p w14:paraId="1E2C18DE">
      <w:pPr>
        <w:widowControl/>
        <w:numPr>
          <w:ilvl w:val="1"/>
          <w:numId w:val="1"/>
        </w:numPr>
        <w:snapToGrid w:val="0"/>
        <w:spacing w:line="460" w:lineRule="exact"/>
        <w:outlineLvl w:val="1"/>
        <w:rPr>
          <w:rFonts w:asciiTheme="minorEastAsia" w:hAnsiTheme="minorEastAsia" w:eastAsiaTheme="minorEastAsia" w:cstheme="minorEastAsia"/>
          <w:b/>
          <w:bCs/>
          <w:iCs/>
          <w:kern w:val="0"/>
          <w:sz w:val="28"/>
          <w:szCs w:val="28"/>
        </w:rPr>
      </w:pPr>
      <w:bookmarkStart w:id="12" w:name="heading_9"/>
      <w:r>
        <w:rPr>
          <w:rFonts w:hint="eastAsia" w:asciiTheme="minorEastAsia" w:hAnsiTheme="minorEastAsia" w:eastAsiaTheme="minorEastAsia" w:cstheme="minorEastAsia"/>
          <w:b/>
          <w:bCs/>
          <w:iCs/>
          <w:kern w:val="0"/>
          <w:sz w:val="28"/>
          <w:szCs w:val="28"/>
        </w:rPr>
        <w:t>生态建设与共创机制研究</w:t>
      </w:r>
      <w:bookmarkEnd w:id="12"/>
    </w:p>
    <w:p w14:paraId="41CA31DE">
      <w:pPr>
        <w:numPr>
          <w:ilvl w:val="1"/>
          <w:numId w:val="1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高校内部AI Skills共创平台搭建与激励机制构建</w:t>
      </w:r>
    </w:p>
    <w:p w14:paraId="2B224E7E">
      <w:pPr>
        <w:numPr>
          <w:ilvl w:val="1"/>
          <w:numId w:val="1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师生AI开发者社区、技能集市、贡献积分体系建设</w:t>
      </w:r>
    </w:p>
    <w:p w14:paraId="075A67B4">
      <w:pPr>
        <w:numPr>
          <w:ilvl w:val="1"/>
          <w:numId w:val="1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校企协同开发、学科数据集共建、算力资源共享机制</w:t>
      </w:r>
    </w:p>
    <w:p w14:paraId="061653D6">
      <w:pPr>
        <w:numPr>
          <w:ilvl w:val="1"/>
          <w:numId w:val="1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高校跨校联盟、标准共建、优质Skills资源共享模式</w:t>
      </w:r>
    </w:p>
    <w:p w14:paraId="71B294E3">
      <w:pPr>
        <w:numPr>
          <w:ilvl w:val="1"/>
          <w:numId w:val="1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教育AI Skills知识产权运营与商业化路径探索</w:t>
      </w:r>
    </w:p>
    <w:p w14:paraId="0BD921EC">
      <w:pPr>
        <w:numPr>
          <w:ilvl w:val="1"/>
          <w:numId w:val="1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开源生态、开放平台、第三方技术接入规范制定</w:t>
      </w:r>
    </w:p>
    <w:p w14:paraId="3B4824A6">
      <w:pPr>
        <w:numPr>
          <w:ilvl w:val="1"/>
          <w:numId w:val="1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政策支持、资金扶持、试点示范项目推进机制</w:t>
      </w:r>
    </w:p>
    <w:p w14:paraId="75EC911C">
      <w:pPr>
        <w:numPr>
          <w:ilvl w:val="1"/>
          <w:numId w:val="1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国际合作交流与教育数字化成果输出模式研究</w:t>
      </w:r>
    </w:p>
    <w:p w14:paraId="39093698">
      <w:pPr>
        <w:widowControl/>
        <w:numPr>
          <w:ilvl w:val="1"/>
          <w:numId w:val="1"/>
        </w:numPr>
        <w:snapToGrid w:val="0"/>
        <w:spacing w:line="460" w:lineRule="exact"/>
        <w:outlineLvl w:val="1"/>
        <w:rPr>
          <w:rFonts w:asciiTheme="minorEastAsia" w:hAnsiTheme="minorEastAsia" w:eastAsiaTheme="minorEastAsia" w:cstheme="minorEastAsia"/>
          <w:b/>
          <w:bCs/>
          <w:iCs/>
          <w:kern w:val="0"/>
          <w:sz w:val="28"/>
          <w:szCs w:val="28"/>
        </w:rPr>
      </w:pPr>
      <w:bookmarkStart w:id="13" w:name="heading_10"/>
      <w:r>
        <w:rPr>
          <w:rFonts w:hint="eastAsia" w:asciiTheme="minorEastAsia" w:hAnsiTheme="minorEastAsia" w:eastAsiaTheme="minorEastAsia" w:cstheme="minorEastAsia"/>
          <w:b/>
          <w:bCs/>
          <w:iCs/>
          <w:kern w:val="0"/>
          <w:sz w:val="28"/>
          <w:szCs w:val="28"/>
        </w:rPr>
        <w:t>实践落地与推广路径研究</w:t>
      </w:r>
      <w:bookmarkEnd w:id="13"/>
    </w:p>
    <w:p w14:paraId="73BCF8F7">
      <w:pPr>
        <w:numPr>
          <w:ilvl w:val="1"/>
          <w:numId w:val="1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校级、院级AI Skills建设路线图与实施方案制定</w:t>
      </w:r>
    </w:p>
    <w:p w14:paraId="0ACA95D9">
      <w:pPr>
        <w:numPr>
          <w:ilvl w:val="1"/>
          <w:numId w:val="1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大模型、算力、存储等基础设施部署方案优化</w:t>
      </w:r>
    </w:p>
    <w:p w14:paraId="1254757E">
      <w:pPr>
        <w:numPr>
          <w:ilvl w:val="1"/>
          <w:numId w:val="1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师资专项培训、骨干教师培育、样板课程打造</w:t>
      </w:r>
    </w:p>
    <w:p w14:paraId="7D2BF1D5">
      <w:pPr>
        <w:numPr>
          <w:ilvl w:val="1"/>
          <w:numId w:val="1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试点专业、示范课程、创新工作室建设实践</w:t>
      </w:r>
    </w:p>
    <w:p w14:paraId="14012D25">
      <w:pPr>
        <w:numPr>
          <w:ilvl w:val="1"/>
          <w:numId w:val="1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分阶段普及、深化、生态化全域推广策略</w:t>
      </w:r>
    </w:p>
    <w:p w14:paraId="2060B895">
      <w:pPr>
        <w:numPr>
          <w:ilvl w:val="1"/>
          <w:numId w:val="1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典型案例库、最佳实践手册、操作规范编制</w:t>
      </w:r>
    </w:p>
    <w:p w14:paraId="07D8DA7D">
      <w:pPr>
        <w:numPr>
          <w:ilvl w:val="1"/>
          <w:numId w:val="1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应用问题诊断、迭代优化、持续改进机制构建</w:t>
      </w:r>
    </w:p>
    <w:p w14:paraId="435249EA">
      <w:pPr>
        <w:numPr>
          <w:ilvl w:val="1"/>
          <w:numId w:val="1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面向未来的智能体、具身智能、自主学习升级规划</w:t>
      </w:r>
    </w:p>
    <w:p w14:paraId="519F004B">
      <w:pPr>
        <w:widowControl/>
        <w:numPr>
          <w:ilvl w:val="0"/>
          <w:numId w:val="1"/>
        </w:numPr>
        <w:snapToGrid w:val="0"/>
        <w:spacing w:before="312" w:beforeLines="100" w:line="460" w:lineRule="exact"/>
        <w:outlineLvl w:val="1"/>
        <w:rPr>
          <w:rFonts w:asciiTheme="minorEastAsia" w:hAnsiTheme="minorEastAsia" w:eastAsiaTheme="minorEastAsia" w:cstheme="minorEastAsia"/>
          <w:b/>
          <w:bCs/>
          <w:iCs/>
          <w:kern w:val="0"/>
          <w:sz w:val="28"/>
          <w:szCs w:val="28"/>
        </w:rPr>
      </w:pPr>
      <w:bookmarkStart w:id="14" w:name="heading_11"/>
      <w:r>
        <w:rPr>
          <w:rFonts w:hint="eastAsia" w:asciiTheme="minorEastAsia" w:hAnsiTheme="minorEastAsia" w:eastAsiaTheme="minorEastAsia" w:cstheme="minorEastAsia"/>
          <w:b/>
          <w:bCs/>
          <w:iCs/>
          <w:kern w:val="0"/>
          <w:sz w:val="28"/>
          <w:szCs w:val="28"/>
        </w:rPr>
        <w:t>职业教育AI Skills 创新创作研究与实践方向</w:t>
      </w:r>
      <w:bookmarkEnd w:id="14"/>
    </w:p>
    <w:p w14:paraId="02B32F80">
      <w:pPr>
        <w:widowControl/>
        <w:numPr>
          <w:ilvl w:val="1"/>
          <w:numId w:val="12"/>
        </w:numPr>
        <w:snapToGrid w:val="0"/>
        <w:spacing w:line="460" w:lineRule="exact"/>
        <w:outlineLvl w:val="1"/>
        <w:rPr>
          <w:rFonts w:asciiTheme="minorEastAsia" w:hAnsiTheme="minorEastAsia" w:eastAsiaTheme="minorEastAsia" w:cstheme="minorEastAsia"/>
          <w:b/>
          <w:bCs/>
          <w:iCs/>
          <w:kern w:val="0"/>
          <w:sz w:val="28"/>
          <w:szCs w:val="28"/>
        </w:rPr>
      </w:pPr>
      <w:bookmarkStart w:id="15" w:name="heading_12"/>
      <w:r>
        <w:rPr>
          <w:rFonts w:hint="eastAsia" w:asciiTheme="minorEastAsia" w:hAnsiTheme="minorEastAsia" w:eastAsiaTheme="minorEastAsia" w:cstheme="minorEastAsia"/>
          <w:b/>
          <w:bCs/>
          <w:iCs/>
          <w:kern w:val="0"/>
          <w:sz w:val="28"/>
          <w:szCs w:val="28"/>
        </w:rPr>
        <w:t>基础理论与标准体系研究</w:t>
      </w:r>
      <w:bookmarkEnd w:id="15"/>
    </w:p>
    <w:p w14:paraId="20D0C0F9">
      <w:pPr>
        <w:numPr>
          <w:ilvl w:val="1"/>
          <w:numId w:val="1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职教AI Skills内涵、岗位适配性与分类界定研究</w:t>
      </w:r>
    </w:p>
    <w:p w14:paraId="05117832">
      <w:pPr>
        <w:numPr>
          <w:ilvl w:val="1"/>
          <w:numId w:val="1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岗课赛证融通下职教AI技能能力模型与考核标准</w:t>
      </w:r>
    </w:p>
    <w:p w14:paraId="419A0419">
      <w:pPr>
        <w:numPr>
          <w:ilvl w:val="1"/>
          <w:numId w:val="1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1+X职业技能等级证书与AI Skills融合培养机理</w:t>
      </w:r>
    </w:p>
    <w:p w14:paraId="708F0D48">
      <w:pPr>
        <w:numPr>
          <w:ilvl w:val="1"/>
          <w:numId w:val="1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职教技能型人才AI素养框架与差异化培养范式</w:t>
      </w:r>
    </w:p>
    <w:p w14:paraId="624AC7BE">
      <w:pPr>
        <w:numPr>
          <w:ilvl w:val="1"/>
          <w:numId w:val="1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国内外职业教育AI技能政策、实践案例与经验借鉴</w:t>
      </w:r>
    </w:p>
    <w:p w14:paraId="07D3A7EC">
      <w:pPr>
        <w:numPr>
          <w:ilvl w:val="1"/>
          <w:numId w:val="13"/>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职教专业群+区域产业集群AI Skills精准适配体系</w:t>
      </w:r>
    </w:p>
    <w:p w14:paraId="3B771066">
      <w:pPr>
        <w:widowControl/>
        <w:numPr>
          <w:ilvl w:val="1"/>
          <w:numId w:val="12"/>
        </w:numPr>
        <w:snapToGrid w:val="0"/>
        <w:spacing w:line="460" w:lineRule="exact"/>
        <w:outlineLvl w:val="1"/>
        <w:rPr>
          <w:rFonts w:asciiTheme="minorEastAsia" w:hAnsiTheme="minorEastAsia" w:eastAsiaTheme="minorEastAsia" w:cstheme="minorEastAsia"/>
          <w:b/>
          <w:bCs/>
          <w:iCs/>
          <w:kern w:val="0"/>
          <w:sz w:val="28"/>
          <w:szCs w:val="28"/>
        </w:rPr>
      </w:pPr>
      <w:bookmarkStart w:id="16" w:name="heading_13"/>
      <w:r>
        <w:rPr>
          <w:rFonts w:hint="eastAsia" w:asciiTheme="minorEastAsia" w:hAnsiTheme="minorEastAsia" w:eastAsiaTheme="minorEastAsia" w:cstheme="minorEastAsia"/>
          <w:b/>
          <w:bCs/>
          <w:iCs/>
          <w:kern w:val="0"/>
          <w:sz w:val="28"/>
          <w:szCs w:val="28"/>
        </w:rPr>
        <w:t>技术开发与平台建设研究</w:t>
      </w:r>
      <w:bookmarkEnd w:id="16"/>
    </w:p>
    <w:p w14:paraId="52871482">
      <w:pPr>
        <w:numPr>
          <w:ilvl w:val="1"/>
          <w:numId w:val="1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职教实训场景化Skills标准化设计与封装技术</w:t>
      </w:r>
    </w:p>
    <w:p w14:paraId="6A37C55E">
      <w:pPr>
        <w:numPr>
          <w:ilvl w:val="1"/>
          <w:numId w:val="1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实训导向低代码/无代码职教AI开发平台搭建</w:t>
      </w:r>
    </w:p>
    <w:p w14:paraId="35BF0BD3">
      <w:pPr>
        <w:numPr>
          <w:ilvl w:val="1"/>
          <w:numId w:val="1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虚拟仿真实训多模态AI Skills构建与优化</w:t>
      </w:r>
    </w:p>
    <w:p w14:paraId="6FA5345E">
      <w:pPr>
        <w:numPr>
          <w:ilvl w:val="1"/>
          <w:numId w:val="1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RAG+企业真实知识库+实训数据可信Skills开发</w:t>
      </w:r>
    </w:p>
    <w:p w14:paraId="598FBE18">
      <w:pPr>
        <w:numPr>
          <w:ilvl w:val="1"/>
          <w:numId w:val="1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国产大模型在职教Skills领域的适配与迁移技术</w:t>
      </w:r>
    </w:p>
    <w:p w14:paraId="5C0E988D">
      <w:pPr>
        <w:numPr>
          <w:ilvl w:val="1"/>
          <w:numId w:val="1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实训设备、生产线联动的职教AI Skills部署技术</w:t>
      </w:r>
    </w:p>
    <w:p w14:paraId="10EC269E">
      <w:pPr>
        <w:numPr>
          <w:ilvl w:val="1"/>
          <w:numId w:val="14"/>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职教Skills版本迭代、自动化测试与运维管理体系</w:t>
      </w:r>
    </w:p>
    <w:p w14:paraId="0314996E">
      <w:pPr>
        <w:widowControl/>
        <w:numPr>
          <w:ilvl w:val="1"/>
          <w:numId w:val="12"/>
        </w:numPr>
        <w:snapToGrid w:val="0"/>
        <w:spacing w:line="460" w:lineRule="exact"/>
        <w:outlineLvl w:val="1"/>
        <w:rPr>
          <w:rFonts w:asciiTheme="minorEastAsia" w:hAnsiTheme="minorEastAsia" w:eastAsiaTheme="minorEastAsia" w:cstheme="minorEastAsia"/>
          <w:b/>
          <w:bCs/>
          <w:iCs/>
          <w:kern w:val="0"/>
          <w:sz w:val="28"/>
          <w:szCs w:val="28"/>
        </w:rPr>
      </w:pPr>
      <w:bookmarkStart w:id="17" w:name="heading_14"/>
      <w:r>
        <w:rPr>
          <w:rFonts w:hint="eastAsia" w:asciiTheme="minorEastAsia" w:hAnsiTheme="minorEastAsia" w:eastAsiaTheme="minorEastAsia" w:cstheme="minorEastAsia"/>
          <w:b/>
          <w:bCs/>
          <w:iCs/>
          <w:kern w:val="0"/>
          <w:sz w:val="28"/>
          <w:szCs w:val="28"/>
        </w:rPr>
        <w:t>教学改革与课堂创新研究</w:t>
      </w:r>
      <w:bookmarkEnd w:id="17"/>
    </w:p>
    <w:p w14:paraId="0E38F9E6">
      <w:pPr>
        <w:numPr>
          <w:ilvl w:val="1"/>
          <w:numId w:val="1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理实一体化教学、实训教案/课件生成Skills应用</w:t>
      </w:r>
    </w:p>
    <w:p w14:paraId="303C5F42">
      <w:pPr>
        <w:numPr>
          <w:ilvl w:val="1"/>
          <w:numId w:val="1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课堂互动、学情诊断、过程性评价Skills实践</w:t>
      </w:r>
    </w:p>
    <w:p w14:paraId="43F2518D">
      <w:pPr>
        <w:numPr>
          <w:ilvl w:val="1"/>
          <w:numId w:val="1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职教微课、慕课、实训资源制作与知识点拆解Skills</w:t>
      </w:r>
    </w:p>
    <w:p w14:paraId="2A0FB72E">
      <w:pPr>
        <w:numPr>
          <w:ilvl w:val="1"/>
          <w:numId w:val="1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专业术语讲解、双语教学、技能实操辅助Skills</w:t>
      </w:r>
    </w:p>
    <w:p w14:paraId="66B47EAE">
      <w:pPr>
        <w:numPr>
          <w:ilvl w:val="1"/>
          <w:numId w:val="1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分层教学、个性化技能学习路径推荐Skills</w:t>
      </w:r>
    </w:p>
    <w:p w14:paraId="12BE6659">
      <w:pPr>
        <w:numPr>
          <w:ilvl w:val="1"/>
          <w:numId w:val="1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公共基础课、专业课差异化Skills适配研究</w:t>
      </w:r>
    </w:p>
    <w:p w14:paraId="58477D2C">
      <w:pPr>
        <w:numPr>
          <w:ilvl w:val="1"/>
          <w:numId w:val="15"/>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线上线下混合式实训教学AI赋能模式创新</w:t>
      </w:r>
    </w:p>
    <w:p w14:paraId="432766E4">
      <w:pPr>
        <w:widowControl/>
        <w:numPr>
          <w:ilvl w:val="1"/>
          <w:numId w:val="12"/>
        </w:numPr>
        <w:snapToGrid w:val="0"/>
        <w:spacing w:line="460" w:lineRule="exact"/>
        <w:outlineLvl w:val="1"/>
        <w:rPr>
          <w:rFonts w:asciiTheme="minorEastAsia" w:hAnsiTheme="minorEastAsia" w:eastAsiaTheme="minorEastAsia" w:cstheme="minorEastAsia"/>
          <w:b/>
          <w:bCs/>
          <w:iCs/>
          <w:kern w:val="0"/>
          <w:sz w:val="28"/>
          <w:szCs w:val="28"/>
        </w:rPr>
      </w:pPr>
      <w:bookmarkStart w:id="18" w:name="heading_15"/>
      <w:r>
        <w:rPr>
          <w:rFonts w:hint="eastAsia" w:asciiTheme="minorEastAsia" w:hAnsiTheme="minorEastAsia" w:eastAsiaTheme="minorEastAsia" w:cstheme="minorEastAsia"/>
          <w:b/>
          <w:bCs/>
          <w:iCs/>
          <w:kern w:val="0"/>
          <w:sz w:val="28"/>
          <w:szCs w:val="28"/>
        </w:rPr>
        <w:t>实训实操与技能训练研究</w:t>
      </w:r>
      <w:bookmarkEnd w:id="18"/>
    </w:p>
    <w:p w14:paraId="17475C46">
      <w:pPr>
        <w:numPr>
          <w:ilvl w:val="1"/>
          <w:numId w:val="1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虚拟仿真实训、操作演示、故障排查Skills开发</w:t>
      </w:r>
    </w:p>
    <w:p w14:paraId="2666042D">
      <w:pPr>
        <w:numPr>
          <w:ilvl w:val="1"/>
          <w:numId w:val="1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技能点拆解、实操步骤指导、实时纠错反馈Skills</w:t>
      </w:r>
    </w:p>
    <w:p w14:paraId="57383CC0">
      <w:pPr>
        <w:numPr>
          <w:ilvl w:val="1"/>
          <w:numId w:val="1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实训报告撰写、工单填写、工艺规范辅助Skills</w:t>
      </w:r>
    </w:p>
    <w:p w14:paraId="057EF9F7">
      <w:pPr>
        <w:numPr>
          <w:ilvl w:val="1"/>
          <w:numId w:val="1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设备运维、检测校准、安全操作规范Skills应用</w:t>
      </w:r>
    </w:p>
    <w:p w14:paraId="70DC2642">
      <w:pPr>
        <w:numPr>
          <w:ilvl w:val="1"/>
          <w:numId w:val="1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工单式实训、任务链、项目化技能训练模式</w:t>
      </w:r>
    </w:p>
    <w:p w14:paraId="22A6AB1F">
      <w:pPr>
        <w:numPr>
          <w:ilvl w:val="1"/>
          <w:numId w:val="1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技能考核、抽测、模拟考评AI辅助系统研发</w:t>
      </w:r>
    </w:p>
    <w:p w14:paraId="2FAFAFEC">
      <w:pPr>
        <w:numPr>
          <w:ilvl w:val="1"/>
          <w:numId w:val="16"/>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高风险、高成本、高耗材实训替代Skills构建</w:t>
      </w:r>
    </w:p>
    <w:p w14:paraId="5085E7F2">
      <w:pPr>
        <w:widowControl/>
        <w:numPr>
          <w:ilvl w:val="1"/>
          <w:numId w:val="12"/>
        </w:numPr>
        <w:snapToGrid w:val="0"/>
        <w:spacing w:line="460" w:lineRule="exact"/>
        <w:outlineLvl w:val="1"/>
        <w:rPr>
          <w:rFonts w:asciiTheme="minorEastAsia" w:hAnsiTheme="minorEastAsia" w:eastAsiaTheme="minorEastAsia" w:cstheme="minorEastAsia"/>
          <w:b/>
          <w:bCs/>
          <w:iCs/>
          <w:kern w:val="0"/>
          <w:sz w:val="28"/>
          <w:szCs w:val="28"/>
        </w:rPr>
      </w:pPr>
      <w:bookmarkStart w:id="19" w:name="heading_16"/>
      <w:r>
        <w:rPr>
          <w:rFonts w:hint="eastAsia" w:asciiTheme="minorEastAsia" w:hAnsiTheme="minorEastAsia" w:eastAsiaTheme="minorEastAsia" w:cstheme="minorEastAsia"/>
          <w:b/>
          <w:bCs/>
          <w:iCs/>
          <w:kern w:val="0"/>
          <w:sz w:val="28"/>
          <w:szCs w:val="28"/>
        </w:rPr>
        <w:t>产教融合与校企协同研究</w:t>
      </w:r>
      <w:bookmarkEnd w:id="19"/>
    </w:p>
    <w:p w14:paraId="7D6C86C9">
      <w:pPr>
        <w:numPr>
          <w:ilvl w:val="1"/>
          <w:numId w:val="1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企业岗位需求画像、技能精准匹配Skills开发</w:t>
      </w:r>
    </w:p>
    <w:p w14:paraId="4117667C">
      <w:pPr>
        <w:numPr>
          <w:ilvl w:val="1"/>
          <w:numId w:val="1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订单培养、现代学徒制、跟岗实习辅助Skills</w:t>
      </w:r>
    </w:p>
    <w:p w14:paraId="04621540">
      <w:pPr>
        <w:numPr>
          <w:ilvl w:val="1"/>
          <w:numId w:val="1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企业真实案例、工艺标准、生产流程Skills转化</w:t>
      </w:r>
    </w:p>
    <w:p w14:paraId="5A318120">
      <w:pPr>
        <w:numPr>
          <w:ilvl w:val="1"/>
          <w:numId w:val="1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校企数据集、实训模型、算力资源共建共享机制</w:t>
      </w:r>
    </w:p>
    <w:p w14:paraId="23ADFD6E">
      <w:pPr>
        <w:numPr>
          <w:ilvl w:val="1"/>
          <w:numId w:val="1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产业学院、实训基地智能化运营Skills应用</w:t>
      </w:r>
    </w:p>
    <w:p w14:paraId="6D2033E8">
      <w:pPr>
        <w:numPr>
          <w:ilvl w:val="1"/>
          <w:numId w:val="1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岗位技能升级、新技术新工艺转化Skills研发</w:t>
      </w:r>
    </w:p>
    <w:p w14:paraId="4938062A">
      <w:pPr>
        <w:numPr>
          <w:ilvl w:val="1"/>
          <w:numId w:val="17"/>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产教融合项目管理、实训过程监控Skills</w:t>
      </w:r>
    </w:p>
    <w:p w14:paraId="2E6D17F1">
      <w:pPr>
        <w:widowControl/>
        <w:numPr>
          <w:ilvl w:val="1"/>
          <w:numId w:val="12"/>
        </w:numPr>
        <w:snapToGrid w:val="0"/>
        <w:spacing w:line="460" w:lineRule="exact"/>
        <w:outlineLvl w:val="1"/>
        <w:rPr>
          <w:rFonts w:asciiTheme="minorEastAsia" w:hAnsiTheme="minorEastAsia" w:eastAsiaTheme="minorEastAsia" w:cstheme="minorEastAsia"/>
          <w:b/>
          <w:bCs/>
          <w:iCs/>
          <w:kern w:val="0"/>
          <w:sz w:val="28"/>
          <w:szCs w:val="28"/>
        </w:rPr>
      </w:pPr>
      <w:bookmarkStart w:id="20" w:name="heading_17"/>
      <w:r>
        <w:rPr>
          <w:rFonts w:hint="eastAsia" w:asciiTheme="minorEastAsia" w:hAnsiTheme="minorEastAsia" w:eastAsiaTheme="minorEastAsia" w:cstheme="minorEastAsia"/>
          <w:b/>
          <w:bCs/>
          <w:iCs/>
          <w:kern w:val="0"/>
          <w:sz w:val="28"/>
          <w:szCs w:val="28"/>
        </w:rPr>
        <w:t>科研服务与技术创新研究</w:t>
      </w:r>
      <w:bookmarkEnd w:id="20"/>
    </w:p>
    <w:p w14:paraId="373C8257">
      <w:pPr>
        <w:numPr>
          <w:ilvl w:val="1"/>
          <w:numId w:val="1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产业技术调研、工艺优化、实操方案设计Skills</w:t>
      </w:r>
    </w:p>
    <w:p w14:paraId="117ED807">
      <w:pPr>
        <w:numPr>
          <w:ilvl w:val="1"/>
          <w:numId w:val="1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企业技术攻关、专利申报、成果转化辅助Skills</w:t>
      </w:r>
    </w:p>
    <w:p w14:paraId="628F24FA">
      <w:pPr>
        <w:numPr>
          <w:ilvl w:val="1"/>
          <w:numId w:val="1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企业生产诊断、技改咨询、降本增效Skills应用</w:t>
      </w:r>
    </w:p>
    <w:p w14:paraId="068DAD8E">
      <w:pPr>
        <w:numPr>
          <w:ilvl w:val="1"/>
          <w:numId w:val="1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区域产业适配技术服务与专属技能包开发</w:t>
      </w:r>
    </w:p>
    <w:p w14:paraId="088F3103">
      <w:pPr>
        <w:numPr>
          <w:ilvl w:val="1"/>
          <w:numId w:val="1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大国工匠技艺数字化传承与AI复刻技术研究</w:t>
      </w:r>
    </w:p>
    <w:p w14:paraId="11265EC0">
      <w:pPr>
        <w:numPr>
          <w:ilvl w:val="1"/>
          <w:numId w:val="1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跨专业技术融合与集成创新Skills构建</w:t>
      </w:r>
    </w:p>
    <w:p w14:paraId="28BE5835">
      <w:pPr>
        <w:numPr>
          <w:ilvl w:val="1"/>
          <w:numId w:val="18"/>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职教科研数据管理与技术成果推广Skills</w:t>
      </w:r>
    </w:p>
    <w:p w14:paraId="50FAB7C6">
      <w:pPr>
        <w:widowControl/>
        <w:numPr>
          <w:ilvl w:val="1"/>
          <w:numId w:val="12"/>
        </w:numPr>
        <w:snapToGrid w:val="0"/>
        <w:spacing w:line="460" w:lineRule="exact"/>
        <w:outlineLvl w:val="1"/>
        <w:rPr>
          <w:rFonts w:asciiTheme="minorEastAsia" w:hAnsiTheme="minorEastAsia" w:eastAsiaTheme="minorEastAsia" w:cstheme="minorEastAsia"/>
          <w:b/>
          <w:bCs/>
          <w:iCs/>
          <w:kern w:val="0"/>
          <w:sz w:val="28"/>
          <w:szCs w:val="28"/>
        </w:rPr>
      </w:pPr>
      <w:bookmarkStart w:id="21" w:name="heading_18"/>
      <w:r>
        <w:rPr>
          <w:rFonts w:hint="eastAsia" w:asciiTheme="minorEastAsia" w:hAnsiTheme="minorEastAsia" w:eastAsiaTheme="minorEastAsia" w:cstheme="minorEastAsia"/>
          <w:b/>
          <w:bCs/>
          <w:iCs/>
          <w:kern w:val="0"/>
          <w:sz w:val="28"/>
          <w:szCs w:val="28"/>
        </w:rPr>
        <w:t>双创与实践能力培养研究</w:t>
      </w:r>
      <w:bookmarkEnd w:id="21"/>
    </w:p>
    <w:p w14:paraId="78B94A76">
      <w:pPr>
        <w:numPr>
          <w:ilvl w:val="1"/>
          <w:numId w:val="1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职业技能竞赛备赛、作品打磨、智能评分辅助Skills</w:t>
      </w:r>
    </w:p>
    <w:p w14:paraId="29E31B7E">
      <w:pPr>
        <w:numPr>
          <w:ilvl w:val="1"/>
          <w:numId w:val="1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职教学生创新创业项目策划、路演、原型开发Skills</w:t>
      </w:r>
    </w:p>
    <w:p w14:paraId="35A8A8A9">
      <w:pPr>
        <w:numPr>
          <w:ilvl w:val="1"/>
          <w:numId w:val="1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文创设计、新媒体运营、产品开发创作Skills</w:t>
      </w:r>
    </w:p>
    <w:p w14:paraId="26432C3F">
      <w:pPr>
        <w:numPr>
          <w:ilvl w:val="1"/>
          <w:numId w:val="1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数字孪生、VR/AR实训与技能作品创作Skills</w:t>
      </w:r>
    </w:p>
    <w:p w14:paraId="567DFA6B">
      <w:pPr>
        <w:numPr>
          <w:ilvl w:val="1"/>
          <w:numId w:val="1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大创项目、挑战杯、职业技能大赛AI全流程赋能</w:t>
      </w:r>
    </w:p>
    <w:p w14:paraId="5A3F1872">
      <w:pPr>
        <w:numPr>
          <w:ilvl w:val="1"/>
          <w:numId w:val="1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创业孵化、市场分析、商业计划撰写辅助Skills</w:t>
      </w:r>
    </w:p>
    <w:p w14:paraId="24A6D4C5">
      <w:pPr>
        <w:numPr>
          <w:ilvl w:val="1"/>
          <w:numId w:val="19"/>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学生作品原创保护、版权合规、创意溯源研究</w:t>
      </w:r>
    </w:p>
    <w:p w14:paraId="3DE04FAC">
      <w:pPr>
        <w:widowControl/>
        <w:numPr>
          <w:ilvl w:val="1"/>
          <w:numId w:val="12"/>
        </w:numPr>
        <w:snapToGrid w:val="0"/>
        <w:spacing w:line="460" w:lineRule="exact"/>
        <w:outlineLvl w:val="1"/>
        <w:rPr>
          <w:rFonts w:asciiTheme="minorEastAsia" w:hAnsiTheme="minorEastAsia" w:eastAsiaTheme="minorEastAsia" w:cstheme="minorEastAsia"/>
          <w:b/>
          <w:bCs/>
          <w:iCs/>
          <w:kern w:val="0"/>
          <w:sz w:val="28"/>
          <w:szCs w:val="28"/>
        </w:rPr>
      </w:pPr>
      <w:bookmarkStart w:id="22" w:name="heading_19"/>
      <w:r>
        <w:rPr>
          <w:rFonts w:hint="eastAsia" w:asciiTheme="minorEastAsia" w:hAnsiTheme="minorEastAsia" w:eastAsiaTheme="minorEastAsia" w:cstheme="minorEastAsia"/>
          <w:b/>
          <w:bCs/>
          <w:iCs/>
          <w:kern w:val="0"/>
          <w:sz w:val="28"/>
          <w:szCs w:val="28"/>
        </w:rPr>
        <w:t>管理服务与治理数字化研究</w:t>
      </w:r>
      <w:bookmarkEnd w:id="22"/>
    </w:p>
    <w:p w14:paraId="6E362B37">
      <w:pPr>
        <w:numPr>
          <w:ilvl w:val="1"/>
          <w:numId w:val="2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职教务管理、智能排课、学籍、选课智能服务Skills</w:t>
      </w:r>
    </w:p>
    <w:p w14:paraId="3CCA0B17">
      <w:pPr>
        <w:numPr>
          <w:ilvl w:val="1"/>
          <w:numId w:val="2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双师型教师发展、教学能力评价、实训督导Skills</w:t>
      </w:r>
    </w:p>
    <w:p w14:paraId="137C3DE2">
      <w:pPr>
        <w:numPr>
          <w:ilvl w:val="1"/>
          <w:numId w:val="2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实训基地、设备资产、实训耗材智能化管理Skills</w:t>
      </w:r>
    </w:p>
    <w:p w14:paraId="32040FD1">
      <w:pPr>
        <w:numPr>
          <w:ilvl w:val="1"/>
          <w:numId w:val="2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学生管理、跟岗实习预警、就业岗位推荐Skills</w:t>
      </w:r>
    </w:p>
    <w:p w14:paraId="3A2BEB0B">
      <w:pPr>
        <w:numPr>
          <w:ilvl w:val="1"/>
          <w:numId w:val="2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校园政务、公文处理、流程自动化服务Skills</w:t>
      </w:r>
    </w:p>
    <w:p w14:paraId="3B028493">
      <w:pPr>
        <w:numPr>
          <w:ilvl w:val="1"/>
          <w:numId w:val="2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职教数据治理、教学质量监控、决策支持Skills</w:t>
      </w:r>
    </w:p>
    <w:p w14:paraId="6EA5EBAA">
      <w:pPr>
        <w:numPr>
          <w:ilvl w:val="1"/>
          <w:numId w:val="20"/>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专业认证、教学诊改、质量提升辅助Skills应用</w:t>
      </w:r>
    </w:p>
    <w:p w14:paraId="7938275E">
      <w:pPr>
        <w:widowControl/>
        <w:numPr>
          <w:ilvl w:val="1"/>
          <w:numId w:val="12"/>
        </w:numPr>
        <w:snapToGrid w:val="0"/>
        <w:spacing w:line="460" w:lineRule="exact"/>
        <w:outlineLvl w:val="1"/>
        <w:rPr>
          <w:rFonts w:asciiTheme="minorEastAsia" w:hAnsiTheme="minorEastAsia" w:eastAsiaTheme="minorEastAsia" w:cstheme="minorEastAsia"/>
          <w:b/>
          <w:bCs/>
          <w:iCs/>
          <w:kern w:val="0"/>
          <w:sz w:val="28"/>
          <w:szCs w:val="28"/>
        </w:rPr>
      </w:pPr>
      <w:bookmarkStart w:id="23" w:name="heading_20"/>
      <w:r>
        <w:rPr>
          <w:rFonts w:hint="eastAsia" w:asciiTheme="minorEastAsia" w:hAnsiTheme="minorEastAsia" w:eastAsiaTheme="minorEastAsia" w:cstheme="minorEastAsia"/>
          <w:b/>
          <w:bCs/>
          <w:iCs/>
          <w:kern w:val="0"/>
          <w:sz w:val="28"/>
          <w:szCs w:val="28"/>
        </w:rPr>
        <w:t>伦理安全与风险治理研究</w:t>
      </w:r>
      <w:bookmarkEnd w:id="23"/>
    </w:p>
    <w:p w14:paraId="0BB1E63A">
      <w:pPr>
        <w:numPr>
          <w:ilvl w:val="1"/>
          <w:numId w:val="2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实训数据隐私、企业商业数据保密与合规研究</w:t>
      </w:r>
    </w:p>
    <w:p w14:paraId="44321D6C">
      <w:pPr>
        <w:numPr>
          <w:ilvl w:val="1"/>
          <w:numId w:val="2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AI幻觉、工艺错误、实操安全风险管控机制</w:t>
      </w:r>
    </w:p>
    <w:p w14:paraId="24C8316A">
      <w:pPr>
        <w:numPr>
          <w:ilvl w:val="1"/>
          <w:numId w:val="2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技能考核公平性、算法偏见与职教数字鸿沟治理</w:t>
      </w:r>
    </w:p>
    <w:p w14:paraId="07B8122A">
      <w:pPr>
        <w:numPr>
          <w:ilvl w:val="1"/>
          <w:numId w:val="2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实训诚信、实操记录溯源与AI生成内容标注</w:t>
      </w:r>
    </w:p>
    <w:p w14:paraId="4AEC8952">
      <w:pPr>
        <w:numPr>
          <w:ilvl w:val="1"/>
          <w:numId w:val="2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职教师生AI素养、实操规范与责任边界界定</w:t>
      </w:r>
    </w:p>
    <w:p w14:paraId="2D312CFF">
      <w:pPr>
        <w:numPr>
          <w:ilvl w:val="1"/>
          <w:numId w:val="2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实训安全、设备联动操作风险防控体系</w:t>
      </w:r>
    </w:p>
    <w:p w14:paraId="1577F9CB">
      <w:pPr>
        <w:numPr>
          <w:ilvl w:val="1"/>
          <w:numId w:val="21"/>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AI Skills知识产权、归属权与校企合作协议规范</w:t>
      </w:r>
    </w:p>
    <w:p w14:paraId="24227941">
      <w:pPr>
        <w:widowControl/>
        <w:numPr>
          <w:ilvl w:val="1"/>
          <w:numId w:val="12"/>
        </w:numPr>
        <w:snapToGrid w:val="0"/>
        <w:spacing w:line="460" w:lineRule="exact"/>
        <w:outlineLvl w:val="1"/>
        <w:rPr>
          <w:rFonts w:asciiTheme="minorEastAsia" w:hAnsiTheme="minorEastAsia" w:eastAsiaTheme="minorEastAsia" w:cstheme="minorEastAsia"/>
          <w:b/>
          <w:bCs/>
          <w:iCs/>
          <w:kern w:val="0"/>
          <w:sz w:val="28"/>
          <w:szCs w:val="28"/>
        </w:rPr>
      </w:pPr>
      <w:bookmarkStart w:id="24" w:name="heading_21"/>
      <w:r>
        <w:rPr>
          <w:rFonts w:hint="eastAsia" w:asciiTheme="minorEastAsia" w:hAnsiTheme="minorEastAsia" w:eastAsiaTheme="minorEastAsia" w:cstheme="minorEastAsia"/>
          <w:b/>
          <w:bCs/>
          <w:iCs/>
          <w:kern w:val="0"/>
          <w:sz w:val="28"/>
          <w:szCs w:val="28"/>
        </w:rPr>
        <w:t>评价认证与推广落地研究</w:t>
      </w:r>
      <w:bookmarkEnd w:id="24"/>
    </w:p>
    <w:p w14:paraId="2E024D44">
      <w:pPr>
        <w:numPr>
          <w:ilvl w:val="1"/>
          <w:numId w:val="2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职教AI Skills可用性、实训教学效果评价指标</w:t>
      </w:r>
    </w:p>
    <w:p w14:paraId="4BF7115F">
      <w:pPr>
        <w:numPr>
          <w:ilvl w:val="1"/>
          <w:numId w:val="2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岗课赛证融通下技能达成度量化评估体系</w:t>
      </w:r>
    </w:p>
    <w:p w14:paraId="568D49C1">
      <w:pPr>
        <w:numPr>
          <w:ilvl w:val="1"/>
          <w:numId w:val="2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1+X证书与AI技能考核融合评价模式研究</w:t>
      </w:r>
    </w:p>
    <w:p w14:paraId="1271F77A">
      <w:pPr>
        <w:numPr>
          <w:ilvl w:val="1"/>
          <w:numId w:val="2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职业技能等级认定、过程性考核AI赋能实践</w:t>
      </w:r>
    </w:p>
    <w:p w14:paraId="3C3720D5">
      <w:pPr>
        <w:numPr>
          <w:ilvl w:val="1"/>
          <w:numId w:val="2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双师教学能力、实训成效对照实验与效果评价</w:t>
      </w:r>
    </w:p>
    <w:p w14:paraId="507E68DF">
      <w:pPr>
        <w:numPr>
          <w:ilvl w:val="1"/>
          <w:numId w:val="2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职教AI Skills成本效益、规模化推广与标杆建设</w:t>
      </w:r>
    </w:p>
    <w:p w14:paraId="410ADCF2">
      <w:pPr>
        <w:numPr>
          <w:ilvl w:val="1"/>
          <w:numId w:val="2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校级、专业群AI Skills建设路线图与实施方案</w:t>
      </w:r>
    </w:p>
    <w:p w14:paraId="741784FA">
      <w:pPr>
        <w:numPr>
          <w:ilvl w:val="1"/>
          <w:numId w:val="22"/>
        </w:numPr>
        <w:spacing w:line="460" w:lineRule="exact"/>
        <w:rPr>
          <w:rFonts w:asciiTheme="minorEastAsia" w:hAnsiTheme="minorEastAsia" w:eastAsiaTheme="minorEastAsia" w:cstheme="minorEastAsia"/>
        </w:rPr>
      </w:pPr>
      <w:r>
        <w:rPr>
          <w:rFonts w:hint="eastAsia" w:asciiTheme="minorEastAsia" w:hAnsiTheme="minorEastAsia" w:eastAsiaTheme="minorEastAsia" w:cstheme="minorEastAsia"/>
        </w:rPr>
        <w:t>样板实训课、示范基地打造与师资专项培训体系</w:t>
      </w:r>
    </w:p>
    <w:p w14:paraId="7CFB57F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210" w:right="210" w:firstLine="600"/>
        <w:jc w:val="both"/>
        <w:textAlignment w:val="baseline"/>
        <w:rPr>
          <w:rFonts w:hint="eastAsia" w:ascii="华文中宋" w:hAnsi="华文中宋" w:eastAsia="华文中宋" w:cs="华文中宋"/>
          <w:b/>
          <w:bCs/>
          <w:i w:val="0"/>
          <w:iCs w:val="0"/>
          <w:caps w:val="0"/>
          <w:color w:val="000000"/>
          <w:spacing w:val="0"/>
          <w:sz w:val="32"/>
          <w:szCs w:val="32"/>
          <w:bdr w:val="none" w:color="auto" w:sz="0" w:space="0"/>
          <w:vertAlign w:val="baseline"/>
        </w:rPr>
      </w:pPr>
      <w:r>
        <w:rPr>
          <w:rFonts w:hint="eastAsia" w:ascii="华文中宋" w:hAnsi="华文中宋" w:eastAsia="华文中宋" w:cs="华文中宋"/>
          <w:b/>
          <w:bCs/>
          <w:i w:val="0"/>
          <w:iCs w:val="0"/>
          <w:caps w:val="0"/>
          <w:color w:val="000000"/>
          <w:spacing w:val="0"/>
          <w:sz w:val="32"/>
          <w:szCs w:val="32"/>
          <w:bdr w:val="none" w:color="auto" w:sz="0" w:space="0"/>
          <w:vertAlign w:val="baseline"/>
        </w:rPr>
        <w:t>关于申报2026年中国高校产学研创新基金的通知</w:t>
      </w:r>
    </w:p>
    <w:p w14:paraId="16501283">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为贯彻落实党的二十大和二十届历次全会及全国教育大会精神，加速科技创新与产业创新融合，以科技创新引领新质生产力发展，提升高等教育服务经济社会发展能力，教育部高等学校科学研究发展中心设立“中国高校产学研创新基金”，积极探索产学研协同发展的长效模式，优化人才培养机制，推动建立以企业为主体、市场为导向、产学研深度融合的技术创新体系，促进科技成果转化。</w:t>
      </w:r>
    </w:p>
    <w:p w14:paraId="29185DC4">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现将2026年中国高校产学研创新基金有关申报事项通知如下：</w:t>
      </w:r>
    </w:p>
    <w:p w14:paraId="013D14AD">
      <w:pPr>
        <w:widowControl/>
        <w:snapToGrid w:val="0"/>
        <w:spacing w:line="480" w:lineRule="exact"/>
        <w:ind w:firstLine="560" w:firstLineChars="200"/>
        <w:contextualSpacing/>
        <w:outlineLvl w:val="1"/>
        <w:rPr>
          <w:rFonts w:hint="eastAsia" w:ascii="黑体" w:hAnsi="黑体" w:eastAsia="黑体" w:cs="黑体"/>
          <w:b w:val="0"/>
          <w:bCs w:val="0"/>
          <w:iCs/>
          <w:kern w:val="0"/>
          <w:sz w:val="28"/>
          <w:szCs w:val="28"/>
        </w:rPr>
      </w:pPr>
      <w:r>
        <w:rPr>
          <w:rFonts w:hint="eastAsia" w:ascii="黑体" w:hAnsi="黑体" w:eastAsia="黑体" w:cs="黑体"/>
          <w:b w:val="0"/>
          <w:bCs w:val="0"/>
          <w:iCs/>
          <w:kern w:val="0"/>
          <w:sz w:val="28"/>
          <w:szCs w:val="28"/>
        </w:rPr>
        <w:t>一、课题说明</w:t>
      </w:r>
    </w:p>
    <w:p w14:paraId="753847B4">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1.创新基金旨在引导与整合社会资源投入应用技术研究，促进企业与高校的合作，开创技术协同创新，培养科技人才，推动我国相关领域、行业、区域自主创新能力的提升。</w:t>
      </w:r>
    </w:p>
    <w:p w14:paraId="6C276647">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2.创新基金由地方政府、行业、企业、社会组织提供课题研究经费和相关技术环境支持，教育部高等学校科学研究发展中心和联合单位共同对创新基金进行管理。</w:t>
      </w:r>
    </w:p>
    <w:p w14:paraId="41C4E494">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3.创新基金的资助对象是高校的教师和学生，用以推进高校的研究成果的创新应用，并支撑高校的人才培养、学科建设、科学研究、教育教学等。</w:t>
      </w:r>
    </w:p>
    <w:p w14:paraId="416C417D">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4.资助课题获得的知识产权由联合单位和课题承担单位共同所有。</w:t>
      </w:r>
    </w:p>
    <w:p w14:paraId="01FEF7BB">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5.课题申请人无需向资助方额外购买配套设备或软件。</w:t>
      </w:r>
    </w:p>
    <w:p w14:paraId="23960551">
      <w:pPr>
        <w:widowControl/>
        <w:snapToGrid w:val="0"/>
        <w:spacing w:line="480" w:lineRule="exact"/>
        <w:ind w:firstLine="560" w:firstLineChars="200"/>
        <w:contextualSpacing/>
        <w:outlineLvl w:val="1"/>
        <w:rPr>
          <w:rFonts w:hint="eastAsia" w:ascii="黑体" w:hAnsi="黑体" w:eastAsia="黑体" w:cs="黑体"/>
          <w:b w:val="0"/>
          <w:bCs w:val="0"/>
          <w:iCs/>
          <w:kern w:val="0"/>
          <w:sz w:val="28"/>
          <w:szCs w:val="28"/>
        </w:rPr>
      </w:pPr>
      <w:r>
        <w:rPr>
          <w:rFonts w:hint="eastAsia" w:ascii="黑体" w:hAnsi="黑体" w:eastAsia="黑体" w:cs="黑体"/>
          <w:b w:val="0"/>
          <w:bCs w:val="0"/>
          <w:iCs/>
          <w:kern w:val="0"/>
          <w:sz w:val="28"/>
          <w:szCs w:val="28"/>
        </w:rPr>
        <w:t>二、课题申请</w:t>
      </w:r>
    </w:p>
    <w:p w14:paraId="32D998D7">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1.2026年中国高校产学研创新基金的具体申报要求，详见各专项的申请指南。</w:t>
      </w:r>
    </w:p>
    <w:p w14:paraId="644891F8">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2.申请资助的课题，应具备以下条件：目的意义明确，立论根据充足，研究技术路线可行；有一定的研究工作基础和实验条件；人员落实，具备开展课题研究的能力；经费预算合理。</w:t>
      </w:r>
    </w:p>
    <w:p w14:paraId="2C63C314">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3.课题申请人应按照各专项的要求填申请书，并将签字盖章后的PDF扫描文件上传至《中国高校产学研基金申报系统》（网址：https://cxjj.cutech.edu.cn）；书面材料一份，邮寄至教育部高等学校科学研究发展中心。填写不合格者,不予受理。</w:t>
      </w:r>
    </w:p>
    <w:p w14:paraId="0FE9F5A2">
      <w:pPr>
        <w:widowControl/>
        <w:snapToGrid w:val="0"/>
        <w:spacing w:line="480" w:lineRule="exact"/>
        <w:ind w:firstLine="560" w:firstLineChars="200"/>
        <w:contextualSpacing/>
        <w:outlineLvl w:val="1"/>
        <w:rPr>
          <w:rFonts w:hint="eastAsia" w:ascii="黑体" w:hAnsi="黑体" w:eastAsia="黑体" w:cs="黑体"/>
          <w:b w:val="0"/>
          <w:bCs w:val="0"/>
          <w:iCs/>
          <w:kern w:val="0"/>
          <w:sz w:val="28"/>
          <w:szCs w:val="28"/>
        </w:rPr>
      </w:pPr>
      <w:r>
        <w:rPr>
          <w:rFonts w:hint="eastAsia" w:ascii="黑体" w:hAnsi="黑体" w:eastAsia="黑体" w:cs="黑体"/>
          <w:b w:val="0"/>
          <w:bCs w:val="0"/>
          <w:iCs/>
          <w:kern w:val="0"/>
          <w:sz w:val="28"/>
          <w:szCs w:val="28"/>
        </w:rPr>
        <w:t>三、联系人及联系方式</w:t>
      </w:r>
    </w:p>
    <w:p w14:paraId="3D635238">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教育部高等学校科学研究发展中心联系人：</w:t>
      </w:r>
    </w:p>
    <w:p w14:paraId="3265957E">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信息化研究发展处： 张 杰 010-62514689</w:t>
      </w:r>
    </w:p>
    <w:p w14:paraId="30D0F982">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产学研合作研究发展处： 张丹强 010-62514015</w:t>
      </w:r>
    </w:p>
    <w:p w14:paraId="0C280E25">
      <w:pPr>
        <w:widowControl/>
        <w:snapToGrid w:val="0"/>
        <w:spacing w:line="480" w:lineRule="exact"/>
        <w:ind w:firstLine="480" w:firstLineChars="200"/>
        <w:contextualSpacing/>
        <w:outlineLvl w:val="1"/>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新技术应用研究处： 赵艳玲 010-62514016</w:t>
      </w:r>
    </w:p>
    <w:p w14:paraId="328DD747">
      <w:pPr>
        <w:numPr>
          <w:numId w:val="0"/>
        </w:numPr>
        <w:spacing w:line="460" w:lineRule="exact"/>
        <w:ind w:left="420" w:leftChars="0"/>
        <w:rPr>
          <w:rFonts w:asciiTheme="minorEastAsia" w:hAnsiTheme="minorEastAsia" w:eastAsiaTheme="minorEastAsia" w:cstheme="minorEastAsia"/>
        </w:rPr>
      </w:pPr>
    </w:p>
    <w:sectPr>
      <w:pgSz w:w="11906" w:h="16838"/>
      <w:pgMar w:top="1440" w:right="1588" w:bottom="1440"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w:panose1 w:val="020B0502040204020203"/>
    <w:charset w:val="00"/>
    <w:family w:val="swiss"/>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yriad 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EE87C"/>
    <w:multiLevelType w:val="multilevel"/>
    <w:tmpl w:val="97FEE87C"/>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B5EFF6A1"/>
    <w:multiLevelType w:val="multilevel"/>
    <w:tmpl w:val="B5EFF6A1"/>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DD7E2114"/>
    <w:multiLevelType w:val="multilevel"/>
    <w:tmpl w:val="DD7E2114"/>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DF9CE6A1"/>
    <w:multiLevelType w:val="multilevel"/>
    <w:tmpl w:val="DF9CE6A1"/>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DFFF5002"/>
    <w:multiLevelType w:val="multilevel"/>
    <w:tmpl w:val="DFFF5002"/>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E77FB0AC"/>
    <w:multiLevelType w:val="multilevel"/>
    <w:tmpl w:val="E77FB0AC"/>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EAD433F0"/>
    <w:multiLevelType w:val="multilevel"/>
    <w:tmpl w:val="EAD433F0"/>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EEFFE684"/>
    <w:multiLevelType w:val="multilevel"/>
    <w:tmpl w:val="EEFFE684"/>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FCBD4393"/>
    <w:multiLevelType w:val="multilevel"/>
    <w:tmpl w:val="FCBD4393"/>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9">
    <w:nsid w:val="FDBAC5C5"/>
    <w:multiLevelType w:val="multilevel"/>
    <w:tmpl w:val="FDBAC5C5"/>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0">
    <w:nsid w:val="FE58F673"/>
    <w:multiLevelType w:val="multilevel"/>
    <w:tmpl w:val="FE58F673"/>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1">
    <w:nsid w:val="1F764980"/>
    <w:multiLevelType w:val="multilevel"/>
    <w:tmpl w:val="1F764980"/>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2">
    <w:nsid w:val="3FBF694C"/>
    <w:multiLevelType w:val="multilevel"/>
    <w:tmpl w:val="3FBF694C"/>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3">
    <w:nsid w:val="4F7F2F7E"/>
    <w:multiLevelType w:val="multilevel"/>
    <w:tmpl w:val="4F7F2F7E"/>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5B3FD998"/>
    <w:multiLevelType w:val="multilevel"/>
    <w:tmpl w:val="5B3FD998"/>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5">
    <w:nsid w:val="5CFF5DB2"/>
    <w:multiLevelType w:val="multilevel"/>
    <w:tmpl w:val="5CFF5DB2"/>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6">
    <w:nsid w:val="6FFBD003"/>
    <w:multiLevelType w:val="multilevel"/>
    <w:tmpl w:val="6FFBD003"/>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7">
    <w:nsid w:val="73AA8059"/>
    <w:multiLevelType w:val="multilevel"/>
    <w:tmpl w:val="73AA8059"/>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8">
    <w:nsid w:val="757E29F7"/>
    <w:multiLevelType w:val="multilevel"/>
    <w:tmpl w:val="757E29F7"/>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9">
    <w:nsid w:val="7DBC5278"/>
    <w:multiLevelType w:val="multilevel"/>
    <w:tmpl w:val="7DBC5278"/>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0">
    <w:nsid w:val="7EFE0E04"/>
    <w:multiLevelType w:val="multilevel"/>
    <w:tmpl w:val="7EFE0E04"/>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1">
    <w:nsid w:val="7F7E6C2C"/>
    <w:multiLevelType w:val="multilevel"/>
    <w:tmpl w:val="7F7E6C2C"/>
    <w:lvl w:ilvl="0" w:tentative="0">
      <w:start w:val="1"/>
      <w:numFmt w:val="decimal"/>
      <w:lvlText w:val="%1."/>
      <w:lvlJc w:val="left"/>
      <w:rPr>
        <w:color w:val="3370FF"/>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18"/>
  </w:num>
  <w:num w:numId="2">
    <w:abstractNumId w:val="9"/>
  </w:num>
  <w:num w:numId="3">
    <w:abstractNumId w:val="21"/>
  </w:num>
  <w:num w:numId="4">
    <w:abstractNumId w:val="3"/>
  </w:num>
  <w:num w:numId="5">
    <w:abstractNumId w:val="20"/>
  </w:num>
  <w:num w:numId="6">
    <w:abstractNumId w:val="2"/>
  </w:num>
  <w:num w:numId="7">
    <w:abstractNumId w:val="13"/>
  </w:num>
  <w:num w:numId="8">
    <w:abstractNumId w:val="11"/>
  </w:num>
  <w:num w:numId="9">
    <w:abstractNumId w:val="6"/>
  </w:num>
  <w:num w:numId="10">
    <w:abstractNumId w:val="0"/>
  </w:num>
  <w:num w:numId="11">
    <w:abstractNumId w:val="16"/>
  </w:num>
  <w:num w:numId="12">
    <w:abstractNumId w:val="15"/>
  </w:num>
  <w:num w:numId="13">
    <w:abstractNumId w:val="8"/>
  </w:num>
  <w:num w:numId="14">
    <w:abstractNumId w:val="7"/>
  </w:num>
  <w:num w:numId="15">
    <w:abstractNumId w:val="5"/>
  </w:num>
  <w:num w:numId="16">
    <w:abstractNumId w:val="1"/>
  </w:num>
  <w:num w:numId="17">
    <w:abstractNumId w:val="12"/>
  </w:num>
  <w:num w:numId="18">
    <w:abstractNumId w:val="14"/>
  </w:num>
  <w:num w:numId="19">
    <w:abstractNumId w:val="10"/>
  </w:num>
  <w:num w:numId="20">
    <w:abstractNumId w:val="4"/>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7E70FF5"/>
    <w:rsid w:val="000222C2"/>
    <w:rsid w:val="0006460A"/>
    <w:rsid w:val="00194A01"/>
    <w:rsid w:val="001C7CF6"/>
    <w:rsid w:val="001F1445"/>
    <w:rsid w:val="002B16D0"/>
    <w:rsid w:val="002C441E"/>
    <w:rsid w:val="003E0D79"/>
    <w:rsid w:val="003F0FF9"/>
    <w:rsid w:val="00464C65"/>
    <w:rsid w:val="004A349E"/>
    <w:rsid w:val="004C343E"/>
    <w:rsid w:val="00597FDC"/>
    <w:rsid w:val="005E2322"/>
    <w:rsid w:val="006204A8"/>
    <w:rsid w:val="00642EA5"/>
    <w:rsid w:val="00654744"/>
    <w:rsid w:val="006E3577"/>
    <w:rsid w:val="00722375"/>
    <w:rsid w:val="00873B2F"/>
    <w:rsid w:val="008A1A31"/>
    <w:rsid w:val="00947B3F"/>
    <w:rsid w:val="00973B55"/>
    <w:rsid w:val="009A6243"/>
    <w:rsid w:val="00A139FB"/>
    <w:rsid w:val="00A61053"/>
    <w:rsid w:val="00AF7D63"/>
    <w:rsid w:val="00BB0629"/>
    <w:rsid w:val="00C6734D"/>
    <w:rsid w:val="00D11127"/>
    <w:rsid w:val="00DA6543"/>
    <w:rsid w:val="00DA79CC"/>
    <w:rsid w:val="00DD1466"/>
    <w:rsid w:val="00EE48C6"/>
    <w:rsid w:val="00EF6379"/>
    <w:rsid w:val="00FE7CEA"/>
    <w:rsid w:val="02691984"/>
    <w:rsid w:val="11B3567B"/>
    <w:rsid w:val="1B77269D"/>
    <w:rsid w:val="1BCD48DA"/>
    <w:rsid w:val="1C0302FC"/>
    <w:rsid w:val="1DB763EC"/>
    <w:rsid w:val="1FFFE4CC"/>
    <w:rsid w:val="2F3FE4E3"/>
    <w:rsid w:val="30FE127A"/>
    <w:rsid w:val="3267118D"/>
    <w:rsid w:val="34F34F5A"/>
    <w:rsid w:val="363D00B8"/>
    <w:rsid w:val="3BFE7884"/>
    <w:rsid w:val="3D7A6218"/>
    <w:rsid w:val="3DFE7B07"/>
    <w:rsid w:val="3DFF2C02"/>
    <w:rsid w:val="3F7BDCBA"/>
    <w:rsid w:val="4C0D46FC"/>
    <w:rsid w:val="4FB05ACA"/>
    <w:rsid w:val="52552958"/>
    <w:rsid w:val="57A17DCA"/>
    <w:rsid w:val="57FFCCDB"/>
    <w:rsid w:val="57FFEAC8"/>
    <w:rsid w:val="5EFDFF3A"/>
    <w:rsid w:val="5F5FA95A"/>
    <w:rsid w:val="5FEF6925"/>
    <w:rsid w:val="64547669"/>
    <w:rsid w:val="663F5C18"/>
    <w:rsid w:val="66D2C33F"/>
    <w:rsid w:val="67EB7DBE"/>
    <w:rsid w:val="6AC031D2"/>
    <w:rsid w:val="6E162F1E"/>
    <w:rsid w:val="6FDFC071"/>
    <w:rsid w:val="6FFF347E"/>
    <w:rsid w:val="70EE5FFA"/>
    <w:rsid w:val="74FC0E2B"/>
    <w:rsid w:val="75C71D1D"/>
    <w:rsid w:val="76FFF093"/>
    <w:rsid w:val="77BC7675"/>
    <w:rsid w:val="77EF713B"/>
    <w:rsid w:val="77F75FFF"/>
    <w:rsid w:val="78F49474"/>
    <w:rsid w:val="79B9FF93"/>
    <w:rsid w:val="79FFC297"/>
    <w:rsid w:val="7AAA7FA9"/>
    <w:rsid w:val="7BDCDDF6"/>
    <w:rsid w:val="7BEF727C"/>
    <w:rsid w:val="7BF790FA"/>
    <w:rsid w:val="7BFFC68C"/>
    <w:rsid w:val="7DEDE3A8"/>
    <w:rsid w:val="7DF71A05"/>
    <w:rsid w:val="7DFC54E7"/>
    <w:rsid w:val="7E6DBA2B"/>
    <w:rsid w:val="7EEB0D94"/>
    <w:rsid w:val="7EF7FB38"/>
    <w:rsid w:val="7FD718A9"/>
    <w:rsid w:val="7FDFE401"/>
    <w:rsid w:val="7FEB6C82"/>
    <w:rsid w:val="7FFBFB9E"/>
    <w:rsid w:val="7FFD5A63"/>
    <w:rsid w:val="7FFF410B"/>
    <w:rsid w:val="7FFFCBB7"/>
    <w:rsid w:val="877BB17D"/>
    <w:rsid w:val="AEDF8F6A"/>
    <w:rsid w:val="B7E9DE32"/>
    <w:rsid w:val="B8EFD28B"/>
    <w:rsid w:val="BEAF24B8"/>
    <w:rsid w:val="BF6BBD72"/>
    <w:rsid w:val="BF7D9E16"/>
    <w:rsid w:val="BFB70AD6"/>
    <w:rsid w:val="C3BFE198"/>
    <w:rsid w:val="C7B72B57"/>
    <w:rsid w:val="D671CEEE"/>
    <w:rsid w:val="DFF764D0"/>
    <w:rsid w:val="E66BFFE3"/>
    <w:rsid w:val="EABF2B4D"/>
    <w:rsid w:val="EBF1BFC4"/>
    <w:rsid w:val="EDBFA53E"/>
    <w:rsid w:val="EEBEB8F5"/>
    <w:rsid w:val="EFEE54E2"/>
    <w:rsid w:val="EFFD6236"/>
    <w:rsid w:val="F777DBAB"/>
    <w:rsid w:val="F7E70FF5"/>
    <w:rsid w:val="F7F5CA94"/>
    <w:rsid w:val="FACEE0A3"/>
    <w:rsid w:val="FB372BA5"/>
    <w:rsid w:val="FBEFEA64"/>
    <w:rsid w:val="FBFFD3FE"/>
    <w:rsid w:val="FDF3CD2E"/>
    <w:rsid w:val="FE7F87AF"/>
    <w:rsid w:val="FEBC58C3"/>
    <w:rsid w:val="FF9E5F19"/>
    <w:rsid w:val="FFAF7481"/>
    <w:rsid w:val="FFDD5196"/>
    <w:rsid w:val="FFF7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修订1"/>
    <w:hidden/>
    <w:unhideWhenUsed/>
    <w:qFormat/>
    <w:uiPriority w:val="99"/>
    <w:rPr>
      <w:rFonts w:ascii="等线" w:hAnsi="等线" w:eastAsia="等线" w:cs="宋体"/>
      <w:kern w:val="2"/>
      <w:sz w:val="21"/>
      <w:szCs w:val="22"/>
      <w:lang w:val="en-US" w:eastAsia="zh-CN" w:bidi="ar-SA"/>
    </w:rPr>
  </w:style>
  <w:style w:type="character" w:customStyle="1" w:styleId="12">
    <w:name w:val="页眉 字符"/>
    <w:basedOn w:val="9"/>
    <w:link w:val="6"/>
    <w:qFormat/>
    <w:uiPriority w:val="0"/>
    <w:rPr>
      <w:rFonts w:ascii="等线" w:hAnsi="等线" w:eastAsia="等线" w:cs="宋体"/>
      <w:kern w:val="2"/>
      <w:sz w:val="18"/>
      <w:szCs w:val="18"/>
    </w:rPr>
  </w:style>
  <w:style w:type="character" w:customStyle="1" w:styleId="13">
    <w:name w:val="页脚 字符"/>
    <w:basedOn w:val="9"/>
    <w:link w:val="5"/>
    <w:qFormat/>
    <w:uiPriority w:val="0"/>
    <w:rPr>
      <w:rFonts w:ascii="等线" w:hAnsi="等线" w:eastAsia="等线" w:cs="宋体"/>
      <w:kern w:val="2"/>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字符"/>
    <w:basedOn w:val="9"/>
    <w:link w:val="4"/>
    <w:qFormat/>
    <w:uiPriority w:val="0"/>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10938</Words>
  <Characters>11640</Characters>
  <Lines>101</Lines>
  <Paragraphs>28</Paragraphs>
  <TotalTime>14</TotalTime>
  <ScaleCrop>false</ScaleCrop>
  <LinksUpToDate>false</LinksUpToDate>
  <CharactersWithSpaces>11750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2026-04-10T02:57:00Z</dcterms:created>
  <dc:creator>d</dc:creator>
  <cp:lastModifiedBy>魏月媛</cp:lastModifiedBy>
  <dcterms:modified xsi:type="dcterms:W3CDTF">2026-05-12T03:23:37Z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1C7BE12406318BBA6253D869BEDFECE0_43</vt:lpwstr>
  </property>
  <property fmtid="{D5CDD505-2E9C-101B-9397-08002B2CF9AE}" pid="4" name="KSOTemplateDocerSaveRecord">
    <vt:lpwstr>eyJoZGlkIjoiNWMzNjQ3YTkwYjliZmM0YTk0MWI1NGVhNGU5NzZhMWMiLCJ1c2VySWQiOiIxNjYyMDQ1ODExIn0=</vt:lpwstr>
  </property>
</Properties>
</file>